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ind w:firstLine="0"/>
        <w:jc w:val="center"/>
        <w:spacing w:line="480" w:lineRule="exact"/>
        <w:rPr>
          <w:sz w:val="28"/>
          <w:highlight w:val="none"/>
        </w:rPr>
      </w:pPr>
      <w:r>
        <w:rPr>
          <w:sz w:val="28"/>
          <w:highlight w:val="none"/>
          <w:lang w:eastAsia="zh-CN"/>
        </w:rPr>
      </w:r>
      <w:r>
        <w:rPr>
          <w:highlight w:val="none"/>
        </w:rPr>
      </w:r>
      <w:r/>
    </w:p>
    <w:p>
      <w:pPr>
        <w:pStyle w:val="652"/>
        <w:ind w:firstLine="0"/>
        <w:jc w:val="center"/>
        <w:spacing w:line="480" w:lineRule="exact"/>
        <w:rPr>
          <w:rFonts w:hint="eastAsia"/>
          <w:sz w:val="28"/>
          <w:highlight w:val="none"/>
        </w:rPr>
      </w:pPr>
      <w:r>
        <w:rPr>
          <w:rFonts w:hint="eastAsia"/>
          <w:sz w:val="28"/>
          <w:highlight w:val="none"/>
          <w:lang w:eastAsia="zh-CN"/>
        </w:rPr>
      </w:r>
      <w:r>
        <w:rPr>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rPr>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rPr>
          <w:highlight w:val="none"/>
        </w:rPr>
      </w:r>
      <w:r/>
    </w:p>
    <w:p>
      <w:pPr>
        <w:pStyle w:val="652"/>
        <w:ind w:firstLine="0"/>
        <w:jc w:val="center"/>
        <w:spacing w:line="480" w:lineRule="exact"/>
        <w:rPr>
          <w:sz w:val="28"/>
          <w:highlight w:val="none"/>
        </w:rPr>
      </w:pPr>
      <w:r>
        <w:rPr>
          <w:sz w:val="28"/>
          <w:highlight w:val="none"/>
          <w:lang w:eastAsia="zh-CN"/>
        </w:rPr>
      </w:r>
      <w:r>
        <w:rPr>
          <w:highlight w:val="none"/>
        </w:rPr>
      </w:r>
      <w:r/>
    </w:p>
    <w:p>
      <w:pPr>
        <w:pStyle w:val="652"/>
        <w:ind w:firstLine="0"/>
        <w:jc w:val="center"/>
        <w:spacing w:line="480" w:lineRule="exact"/>
        <w:rPr>
          <w:rFonts w:hint="eastAsia"/>
          <w:sz w:val="28"/>
          <w:highlight w:val="none"/>
        </w:rPr>
      </w:pPr>
      <w:r>
        <w:rPr>
          <w:rFonts w:hint="eastAsia"/>
          <w:sz w:val="28"/>
          <w:highlight w:val="none"/>
          <w:lang w:eastAsia="zh-CN"/>
        </w:rPr>
      </w:r>
      <w:r>
        <w:rPr>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南通市启秀中学励志楼多媒体设备采购项目</w:t>
      </w:r>
      <w:r>
        <w:rPr>
          <w:highlight w:val="none"/>
        </w:rPr>
      </w:r>
      <w:r/>
    </w:p>
    <w:p>
      <w:pPr>
        <w:jc w:val="center"/>
        <w:spacing w:line="360" w:lineRule="auto"/>
        <w:rPr>
          <w:rFonts w:hint="default" w:ascii="Times New Roman" w:hAnsi="Times New Roman"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JSZC-320600-JZCG-X2026-0059</w:t>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rPr>
          <w:highlight w:val="none"/>
        </w:rPr>
      </w:r>
      <w:r/>
    </w:p>
    <w:p>
      <w:pPr>
        <w:pStyle w:val="652"/>
        <w:ind w:firstLine="0"/>
        <w:jc w:val="center"/>
        <w:spacing w:line="480" w:lineRule="exact"/>
        <w:rPr>
          <w:rFonts w:hint="eastAsia"/>
          <w:color w:val="000000"/>
          <w:sz w:val="32"/>
          <w:highlight w:val="none"/>
        </w:rPr>
      </w:pPr>
      <w:r>
        <w:rPr>
          <w:rFonts w:hint="eastAsia"/>
          <w:color w:val="000000"/>
          <w:sz w:val="32"/>
          <w:highlight w:val="none"/>
          <w:lang w:val="en-US" w:eastAsia="zh-CN"/>
        </w:rPr>
      </w:r>
      <w:r>
        <w:rPr>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rPr>
          <w:highlight w:val="none"/>
        </w:rPr>
      </w:r>
      <w:r/>
    </w:p>
    <w:p>
      <w:pPr>
        <w:pStyle w:val="652"/>
        <w:ind w:firstLine="0"/>
        <w:jc w:val="center"/>
        <w:spacing w:line="480" w:lineRule="exact"/>
        <w:rPr>
          <w:sz w:val="28"/>
          <w:highlight w:val="none"/>
        </w:rPr>
      </w:pPr>
      <w:r>
        <w:rPr>
          <w:highlight w:val="none"/>
          <w:lang w:eastAsia="zh-CN"/>
        </w:rPr>
        <w:br w:type="page" w:clear="all"/>
      </w:r>
      <w:r>
        <w:rPr>
          <w:highlight w:val="none"/>
        </w:rPr>
      </w:r>
      <w:r/>
    </w:p>
    <w:p>
      <w:pPr>
        <w:pStyle w:val="652"/>
        <w:ind w:firstLine="0"/>
        <w:jc w:val="center"/>
        <w:spacing w:line="480" w:lineRule="exact"/>
        <w:rPr>
          <w:sz w:val="52"/>
          <w:szCs w:val="36"/>
          <w:highlight w:val="none"/>
        </w:rPr>
      </w:pPr>
      <w:r>
        <w:rPr>
          <w:sz w:val="52"/>
          <w:szCs w:val="36"/>
          <w:highlight w:val="none"/>
          <w:lang w:eastAsia="zh-CN"/>
        </w:rPr>
      </w:r>
      <w:r>
        <w:rPr>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rPr>
              <w:highlight w:val="none"/>
            </w:rPr>
          </w:r>
          <w:r/>
        </w:p>
        <w:p>
          <w:pPr>
            <w:pStyle w:val="662"/>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fldChar w:fldCharType="end"/>
          </w:r>
          <w:r>
            <w:rPr>
              <w:sz w:val="36"/>
              <w:szCs w:val="32"/>
              <w:highlight w:val="none"/>
              <w:lang w:eastAsia="zh-CN"/>
            </w:rPr>
            <w:fldChar w:fldCharType="end"/>
          </w:r>
          <w:r>
            <w:rPr>
              <w:highlight w:val="none"/>
            </w:rPr>
          </w:r>
          <w:r/>
        </w:p>
        <w:p>
          <w:pPr>
            <w:pStyle w:val="652"/>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rPr>
              <w:highlight w:val="none"/>
            </w:rPr>
          </w:r>
          <w:r/>
        </w:p>
      </w:sdtContent>
    </w:sdt>
    <w:p>
      <w:pPr>
        <w:rPr>
          <w:rFonts w:ascii="黑体" w:hAnsi="黑体" w:eastAsia="黑体" w:cs="黑体"/>
          <w:color w:val="000000"/>
          <w:sz w:val="44"/>
          <w:szCs w:val="44"/>
          <w:highlight w:val="none"/>
        </w:rPr>
        <w:outlineLvl w:val="0"/>
      </w:pPr>
      <w:r>
        <w:rPr>
          <w:highlight w:val="none"/>
        </w:rPr>
        <w:br w:type="page" w:clear="all"/>
      </w:r>
      <w:r>
        <w:rPr>
          <w:highlight w:val="none"/>
        </w:rPr>
      </w:r>
      <w:r/>
    </w:p>
    <w:p>
      <w:pPr>
        <w:pStyle w:val="652"/>
        <w:ind w:firstLine="0"/>
        <w:jc w:val="center"/>
        <w:rPr>
          <w:highlight w:val="none"/>
        </w:rPr>
        <w:outlineLvl w:val="0"/>
      </w:pPr>
      <w:r>
        <w:rPr>
          <w:highlight w:val="none"/>
        </w:rPr>
      </w:r>
      <w:bookmarkStart w:id="0" w:name="_Toc8717"/>
      <w:r>
        <w:rPr>
          <w:highlight w:val="none"/>
        </w:rPr>
      </w:r>
      <w:bookmarkStart w:id="1" w:name="_Toc30211"/>
      <w:r>
        <w:rPr>
          <w:highlight w:val="none"/>
        </w:rPr>
      </w:r>
      <w:bookmarkStart w:id="2" w:name="_Toc18975"/>
      <w:r>
        <w:rPr>
          <w:rFonts w:hint="eastAsia" w:ascii="黑体" w:hAnsi="黑体" w:eastAsia="黑体" w:cs="黑体"/>
          <w:color w:val="000000"/>
          <w:sz w:val="44"/>
          <w:highlight w:val="none"/>
          <w:lang w:eastAsia="zh-CN"/>
        </w:rPr>
        <w:t xml:space="preserve">第一章</w:t>
      </w:r>
      <w:bookmarkEnd w:id="0"/>
      <w:r>
        <w:rPr>
          <w:highlight w:val="none"/>
        </w:rPr>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Pr>
          <w:highlight w:val="none"/>
        </w:rPr>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sz w:val="28"/>
          <w:szCs w:val="28"/>
          <w:highlight w:val="none"/>
        </w:rPr>
        <w:t xml:space="preserve">项目概况</w:t>
      </w:r>
      <w:r>
        <w:rPr>
          <w:highlight w:val="none"/>
        </w:rPr>
      </w: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南通市启秀中学励志楼多媒体设备采购项目的潜在供应商应在江苏政府采购网获取采购文件，并于2026年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月29日9</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（北京时间）前提交响应文件。</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1.项目编号：JSZC-320600-JZCG-X2026-0059</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2.项目名称：南通市启秀中学励志楼多媒体设备采购项目</w:t>
      </w:r>
      <w:r>
        <w:rPr>
          <w:highlight w:val="none"/>
        </w:rPr>
      </w:r>
      <w:r/>
    </w:p>
    <w:p>
      <w:pPr>
        <w:pStyle w:val="652"/>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3.预算金额：57.6万元。</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57.6</w:t>
      </w:r>
      <w:r>
        <w:rPr>
          <w:rFonts w:hint="eastAsia" w:ascii="仿宋" w:hAnsi="仿宋" w:eastAsia="仿宋" w:cs="仿宋"/>
          <w:color w:val="000000"/>
          <w:sz w:val="28"/>
          <w:szCs w:val="28"/>
          <w:highlight w:val="none"/>
        </w:rPr>
        <w:t xml:space="preserve">万元。</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32套（含OPS电脑、视频站台、智能笔）</w:t>
      </w:r>
      <w:r>
        <w:rPr>
          <w:rFonts w:hint="eastAsia" w:ascii="仿宋" w:hAnsi="仿宋" w:eastAsia="仿宋" w:cs="仿宋"/>
          <w:sz w:val="28"/>
          <w:szCs w:val="28"/>
          <w:highlight w:val="none"/>
        </w:rPr>
        <w:t xml:space="preserve">。</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25</w:t>
      </w:r>
      <w:r>
        <w:rPr>
          <w:rFonts w:hint="eastAsia" w:ascii="仿宋" w:hAnsi="仿宋" w:eastAsia="仿宋" w:cs="仿宋"/>
          <w:sz w:val="28"/>
          <w:szCs w:val="28"/>
          <w:highlight w:val="none"/>
        </w:rPr>
        <w:t xml:space="preserve">天内安装调试完毕并交付使用。</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rPr>
          <w:highlight w:val="none"/>
        </w:rPr>
      </w:r>
      <w:r/>
    </w:p>
    <w:p>
      <w:pPr>
        <w:pStyle w:val="851"/>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rPr>
          <w:highlight w:val="none"/>
        </w:rPr>
      </w: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rPr>
          <w:highlight w:val="none"/>
        </w:rPr>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rPr>
          <w:highlight w:val="none"/>
        </w:rPr>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rPr>
          <w:highlight w:val="none"/>
        </w:rPr>
      </w:r>
      <w:r/>
    </w:p>
    <w:p>
      <w:pPr>
        <w:pStyle w:val="851"/>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月23日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rPr>
          <w:highlight w:val="none"/>
        </w:rPr>
      </w: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月29日9</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rPr>
          <w:highlight w:val="none"/>
        </w:rPr>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rPr>
          <w:highlight w:val="none"/>
        </w:rPr>
      </w:r>
      <w:r/>
    </w:p>
    <w:p>
      <w:pPr>
        <w:pStyle w:val="851"/>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rPr>
          <w:highlight w:val="none"/>
        </w:rPr>
      </w:r>
      <w:r/>
    </w:p>
    <w:p>
      <w:pPr>
        <w:pStyle w:val="851"/>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rPr>
          <w:highlight w:val="none"/>
        </w:rPr>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rPr>
          <w:highlight w:val="none"/>
        </w:rPr>
      </w:r>
      <w:r/>
    </w:p>
    <w:p>
      <w:pPr>
        <w:pStyle w:val="851"/>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rPr>
          <w:highlight w:val="none"/>
        </w:rPr>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称：南通市启秀中学</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址：江苏省南通市跃龙路74号</w:t>
      </w:r>
      <w:r>
        <w:rPr>
          <w:highlight w:val="none"/>
        </w:rPr>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殷老师</w:t>
      </w:r>
      <w:r>
        <w:rPr>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联系方式：13615231546</w:t>
      </w:r>
      <w:r>
        <w:rPr>
          <w:highlight w:val="none"/>
        </w:rPr>
      </w:r>
      <w:r/>
    </w:p>
    <w:p>
      <w:pPr>
        <w:pStyle w:val="851"/>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rPr>
          <w:highlight w:val="none"/>
        </w:rPr>
      </w:r>
      <w:r/>
    </w:p>
    <w:p>
      <w:pPr>
        <w:pStyle w:val="851"/>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rFonts w:hint="eastAsia" w:ascii="仿宋" w:hAnsi="仿宋" w:eastAsia="仿宋" w:cs="仿宋"/>
          <w:sz w:val="28"/>
          <w:szCs w:val="28"/>
          <w:highlight w:val="none"/>
          <w:u w:val="none"/>
        </w:rPr>
        <w:t xml:space="preserve">     </w:t>
      </w:r>
      <w:r>
        <w:rPr>
          <w:highlight w:val="none"/>
        </w:rPr>
      </w:r>
      <w:r/>
    </w:p>
    <w:p>
      <w:pPr>
        <w:pStyle w:val="851"/>
        <w:ind w:left="0" w:firstLine="0"/>
        <w:jc w:val="left"/>
        <w:spacing w:after="0"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rPr>
          <w:highlight w:val="none"/>
        </w:rPr>
      </w:r>
      <w:r/>
    </w:p>
    <w:p>
      <w:pPr>
        <w:pStyle w:val="652"/>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rPr>
          <w:highlight w:val="none"/>
        </w:rPr>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rPr>
          <w:highlight w:val="none"/>
        </w:rPr>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rPr>
          <w:highlight w:val="none"/>
        </w:rPr>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bookmarkEnd w:id="6"/>
      <w:r>
        <w:rPr>
          <w:rFonts w:hint="eastAsia" w:ascii="仿宋" w:hAnsi="仿宋" w:eastAsia="仿宋" w:cs="仿宋"/>
          <w:color w:val="000000"/>
          <w:sz w:val="28"/>
          <w:szCs w:val="28"/>
          <w:highlight w:val="none"/>
        </w:rPr>
        <w:t xml:space="preserve">.商品包装环保要求：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highlight w:val="none"/>
        </w:rPr>
      </w:r>
      <w:r/>
    </w:p>
    <w:p>
      <w:pPr>
        <w:pStyle w:val="652"/>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rPr>
          <w:highlight w:val="none"/>
        </w:rPr>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rPr>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pStyle w:val="652"/>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Pr>
          <w:highlight w:val="none"/>
        </w:rPr>
      </w:r>
      <w:r/>
    </w:p>
    <w:p>
      <w:pPr>
        <w:pStyle w:val="851"/>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color w:val="000000"/>
          <w:sz w:val="28"/>
          <w:szCs w:val="28"/>
          <w:highlight w:val="none"/>
        </w:rPr>
      </w:pPr>
      <w:r>
        <w:rPr>
          <w:color w:val="000000"/>
          <w:sz w:val="28"/>
          <w:szCs w:val="28"/>
          <w:highlight w:val="none"/>
          <w:lang w:eastAsia="zh-CN"/>
        </w:rPr>
      </w:r>
      <w:r>
        <w:rPr>
          <w:highlight w:val="none"/>
        </w:rPr>
      </w:r>
      <w:r/>
    </w:p>
    <w:p>
      <w:pPr>
        <w:pStyle w:val="652"/>
        <w:ind w:firstLine="0"/>
        <w:jc w:val="center"/>
        <w:rPr>
          <w:rFonts w:hint="eastAsia"/>
          <w:highlight w:val="none"/>
        </w:rPr>
      </w:pPr>
      <w:r>
        <w:rPr>
          <w:rFonts w:hint="eastAsia"/>
          <w:highlight w:val="none"/>
          <w:lang w:eastAsia="zh-CN"/>
        </w:rPr>
      </w:r>
      <w:r>
        <w:rPr>
          <w:highlight w:val="none"/>
        </w:rPr>
      </w:r>
      <w:r/>
    </w:p>
    <w:p>
      <w:pPr>
        <w:pStyle w:val="835"/>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r/>
    </w:p>
    <w:p>
      <w:pPr>
        <w:pStyle w:val="835"/>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r/>
    </w:p>
    <w:p>
      <w:pPr>
        <w:pStyle w:val="652"/>
        <w:ind w:firstLine="0"/>
        <w:jc w:val="center"/>
        <w:spacing w:line="480" w:lineRule="exact"/>
        <w:rPr>
          <w:rFonts w:hint="eastAsia"/>
          <w:b/>
          <w:sz w:val="28"/>
          <w:highlight w:val="none"/>
        </w:rPr>
        <w:outlineLvl w:val="1"/>
      </w:pPr>
      <w:r>
        <w:rPr>
          <w:highlight w:val="none"/>
        </w:r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Pr>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r/>
    </w:p>
    <w:p>
      <w:pPr>
        <w:pStyle w:val="836"/>
        <w:ind w:left="0" w:firstLine="420"/>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highlight w:val="none"/>
        </w:rPr>
      </w:r>
      <w:r/>
    </w:p>
    <w:p>
      <w:pPr>
        <w:pStyle w:val="836"/>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highlight w:val="none"/>
        </w:rPr>
      </w:r>
      <w:r/>
    </w:p>
    <w:p>
      <w:pPr>
        <w:pStyle w:val="83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r/>
    </w:p>
    <w:p>
      <w:pPr>
        <w:pStyle w:val="83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highlight w:val="none"/>
        </w:rPr>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highlight w:val="none"/>
        </w:rPr>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highlight w:val="none"/>
        </w:rPr>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p>
    <w:p>
      <w:pPr>
        <w:pStyle w:val="871"/>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r/>
    </w:p>
    <w:p>
      <w:pPr>
        <w:pStyle w:val="871"/>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871"/>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871"/>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highlight w:val="none"/>
        </w:rPr>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r/>
    </w:p>
    <w:p>
      <w:pPr>
        <w:pStyle w:val="871"/>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highlight w:val="none"/>
        </w:rPr>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pStyle w:val="871"/>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highlight w:val="none"/>
        </w:rPr>
      </w:r>
      <w:r/>
    </w:p>
    <w:p>
      <w:pPr>
        <w:pStyle w:val="871"/>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highlight w:val="none"/>
        </w:rPr>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r/>
    </w:p>
    <w:p>
      <w:pPr>
        <w:pStyle w:val="871"/>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rPr>
          <w:highlight w:val="none"/>
        </w:rPr>
      </w:r>
      <w:r/>
    </w:p>
    <w:p>
      <w:pPr>
        <w:pStyle w:val="871"/>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pStyle w:val="872"/>
        <w:spacing w:line="400" w:lineRule="exact"/>
        <w:rPr>
          <w:highlight w:val="none"/>
        </w:rPr>
      </w:pPr>
      <w:r>
        <w:rPr>
          <w:rFonts w:hint="eastAsia" w:ascii="宋体" w:hAnsi="宋体"/>
          <w:highlight w:val="none"/>
        </w:rPr>
        <w:t xml:space="preserve">（3）付款方式（按项目实际勾选填写）：</w:t>
      </w:r>
      <w:r>
        <w:rPr>
          <w:highlight w:val="none"/>
        </w:rPr>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highlight w:val="none"/>
        </w:rPr>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pStyle w:val="871"/>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highlight w:val="none"/>
        </w:rPr>
      </w:r>
      <w:r/>
    </w:p>
    <w:p>
      <w:pPr>
        <w:pStyle w:val="871"/>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highlight w:val="none"/>
        </w:rPr>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highlight w:val="none"/>
        </w:rPr>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highlight w:val="none"/>
        </w:rPr>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highlight w:val="none"/>
        </w:rPr>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highlight w:val="none"/>
        </w:rPr>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r/>
    </w:p>
    <w:p>
      <w:pPr>
        <w:pStyle w:val="871"/>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highlight w:val="none"/>
        </w:rPr>
      </w:r>
      <w:r/>
    </w:p>
    <w:p>
      <w:pPr>
        <w:pStyle w:val="871"/>
        <w:rPr>
          <w:rFonts w:ascii="宋体" w:hAnsi="宋体" w:eastAsia="宋体" w:cs="宋体"/>
          <w:color w:val="000000"/>
          <w:sz w:val="21"/>
          <w:highlight w:val="none"/>
        </w:rPr>
      </w:pPr>
      <w:r>
        <w:rPr>
          <w:highlight w:val="none"/>
        </w:rPr>
        <w:br w:type="page" w:clear="all"/>
      </w:r>
      <w:r>
        <w:rPr>
          <w:highlight w:val="none"/>
        </w:rPr>
      </w:r>
      <w:r/>
    </w:p>
    <w:p>
      <w:pPr>
        <w:pStyle w:val="871"/>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r/>
    </w:p>
    <w:tbl>
      <w:tblPr>
        <w:tblStyle w:val="65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1260" w:type="dxa"/>
            <w:vAlign w:val="center"/>
            <w:textDirection w:val="lrTb"/>
            <w:noWrap w:val="false"/>
          </w:tcPr>
          <w:p>
            <w:pPr>
              <w:jc w:val="center"/>
              <w:spacing w:line="300" w:lineRule="exact"/>
              <w:rPr>
                <w:szCs w:val="21"/>
                <w:highlight w:val="none"/>
              </w:rPr>
            </w:pPr>
            <w:r>
              <w:rPr>
                <w:szCs w:val="21"/>
                <w:highlight w:val="none"/>
              </w:rPr>
            </w:r>
            <w:r>
              <w:rPr>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586"/>
        </w:trPr>
        <w:tc>
          <w:tcPr>
            <w:gridSpan w:val="4"/>
            <w:tcW w:w="8593" w:type="dxa"/>
            <w:vAlign w:val="center"/>
            <w:textDirection w:val="lrTb"/>
            <w:noWrap w:val="false"/>
          </w:tcPr>
          <w:p>
            <w:pPr>
              <w:pStyle w:val="83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highlight w:val="none"/>
              </w:rPr>
            </w:r>
            <w:r/>
          </w:p>
        </w:tc>
      </w:tr>
    </w:tbl>
    <w:p>
      <w:pPr>
        <w:pStyle w:val="871"/>
        <w:ind w:firstLine="420"/>
        <w:rPr>
          <w:rFonts w:ascii="宋体" w:hAnsi="宋体" w:eastAsia="宋体" w:cs="宋体"/>
          <w:color w:val="000000"/>
          <w:sz w:val="21"/>
          <w:highlight w:val="none"/>
        </w:rPr>
      </w:pPr>
      <w:r>
        <w:rPr>
          <w:rFonts w:ascii="宋体" w:hAnsi="宋体" w:eastAsia="宋体" w:cs="宋体"/>
          <w:color w:val="000000"/>
          <w:sz w:val="21"/>
          <w:highlight w:val="none"/>
        </w:rPr>
      </w:r>
      <w:r>
        <w:rPr>
          <w:highlight w:val="none"/>
        </w:rPr>
      </w:r>
      <w:r/>
    </w:p>
    <w:p>
      <w:pPr>
        <w:pStyle w:val="871"/>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r/>
    </w:p>
    <w:p>
      <w:pPr>
        <w:pStyle w:val="652"/>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pStyle w:val="835"/>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r/>
    </w:p>
    <w:p>
      <w:pPr>
        <w:pStyle w:val="835"/>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871"/>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highlight w:val="none"/>
        </w:rPr>
      </w:r>
      <w:r/>
    </w:p>
    <w:p>
      <w:pPr>
        <w:pStyle w:val="840"/>
        <w:ind w:firstLine="420"/>
        <w:jc w:val="left"/>
        <w:spacing w:line="400" w:lineRule="exact"/>
        <w:rPr>
          <w:rFonts w:hAnsi="宋体"/>
          <w:b/>
          <w:highlight w:val="none"/>
        </w:rPr>
      </w:pPr>
      <w:r>
        <w:rPr>
          <w:rFonts w:hint="eastAsia" w:hAnsi="宋体"/>
          <w:highlight w:val="none"/>
        </w:rPr>
        <w:t xml:space="preserve">8.1质量标准</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840"/>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highlight w:val="none"/>
        </w:rPr>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highlight w:val="none"/>
        </w:rPr>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871"/>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highlight w:val="none"/>
        </w:rPr>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871"/>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83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highlight w:val="none"/>
        </w:rPr>
      </w:r>
      <w:r/>
    </w:p>
    <w:p>
      <w:pPr>
        <w:pStyle w:val="871"/>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highlight w:val="none"/>
        </w:rPr>
      </w:r>
      <w:r/>
    </w:p>
    <w:p>
      <w:pPr>
        <w:pStyle w:val="871"/>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r/>
    </w:p>
    <w:p>
      <w:pPr>
        <w:pStyle w:val="871"/>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r/>
    </w:p>
    <w:p>
      <w:pPr>
        <w:pStyle w:val="83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highlight w:val="none"/>
        </w:rPr>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Pr>
          <w:highlight w:val="none"/>
        </w:rPr>
      </w:r>
      <w:r/>
    </w:p>
    <w:tbl>
      <w:tblPr>
        <w:tblStyle w:val="65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rPr>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rPr>
                <w:highlight w:val="none"/>
              </w:rPr>
            </w:r>
            <w:r/>
          </w:p>
        </w:tc>
        <w:tc>
          <w:tcPr>
            <w:tcW w:w="5170" w:type="dxa"/>
            <w:vAlign w:val="center"/>
            <w:textDirection w:val="lrTb"/>
            <w:noWrap w:val="false"/>
          </w:tcPr>
          <w:p>
            <w:pPr>
              <w:rPr>
                <w:highlight w:val="none"/>
              </w:rPr>
            </w:pPr>
            <w:r>
              <w:rPr>
                <w:rFonts w:hint="eastAsia"/>
                <w:highlight w:val="none"/>
              </w:rPr>
              <w:t xml:space="preserve">无</w:t>
            </w: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rPr>
                <w:highlight w:val="none"/>
              </w:rPr>
            </w:r>
            <w:r/>
          </w:p>
        </w:tc>
        <w:tc>
          <w:tcPr>
            <w:tcW w:w="5170" w:type="dxa"/>
            <w:vAlign w:val="center"/>
            <w:textDirection w:val="lrTb"/>
            <w:noWrap w:val="false"/>
          </w:tcPr>
          <w:p>
            <w:pPr>
              <w:rPr>
                <w:rFonts w:hint="eastAsia"/>
                <w:highlight w:val="none"/>
              </w:rPr>
            </w:pPr>
            <w:r>
              <w:rPr>
                <w:rFonts w:hint="eastAsia"/>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rPr>
                <w:highlight w:val="none"/>
              </w:rPr>
            </w:r>
            <w:r/>
          </w:p>
          <w:p>
            <w:pPr>
              <w:jc w:val="left"/>
              <w:rPr>
                <w:rFonts w:ascii="宋体" w:hAnsi="宋体"/>
                <w:szCs w:val="21"/>
                <w:highlight w:val="none"/>
              </w:rPr>
            </w:pPr>
            <w:r>
              <w:rPr>
                <w:rFonts w:hint="eastAsia" w:ascii="宋体" w:hAnsi="宋体"/>
                <w:szCs w:val="21"/>
                <w:highlight w:val="none"/>
              </w:rPr>
              <w:t xml:space="preserve">响应时间</w:t>
            </w:r>
            <w:r>
              <w:rPr>
                <w:highlight w:val="none"/>
              </w:rPr>
            </w: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rPr>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rPr>
                <w:highlight w:val="none"/>
              </w:rPr>
            </w:r>
            <w:r/>
          </w:p>
          <w:p>
            <w:pPr>
              <w:pStyle w:val="871"/>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rPr>
                <w:highlight w:val="none"/>
              </w:rPr>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rPr>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rPr>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rPr>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rPr>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rPr>
                <w:highlight w:val="none"/>
              </w:rPr>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rPr>
                <w:highlight w:val="none"/>
              </w:rPr>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hint="eastAsia" w:ascii="宋体" w:hAnsi="宋体"/>
                <w:szCs w:val="21"/>
                <w:highlight w:val="none"/>
              </w:rP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rPr>
                <w:highlight w:val="none"/>
              </w:rPr>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rPr>
                <w:highlight w:val="non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第15.4款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rPr>
                <w:highlight w:val="none"/>
              </w:rPr>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rPr>
                <w:highlight w:val="non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第19.2款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highlight w:val="none"/>
              </w:rPr>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rPr>
                <w:highlight w:val="none"/>
              </w:rPr>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rPr>
                <w:highlight w:val="none"/>
              </w:rPr>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r/>
          </w:p>
          <w:p>
            <w:pPr>
              <w:jc w:val="center"/>
              <w:rPr>
                <w:rFonts w:ascii="宋体" w:hAnsi="宋体"/>
                <w:szCs w:val="21"/>
                <w:highlight w:val="none"/>
              </w:rP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rPr>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r/>
    </w:p>
    <w:p>
      <w:pPr>
        <w:pStyle w:val="652"/>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Pr>
          <w:highlight w:val="none"/>
        </w:rPr>
      </w:r>
      <w:r/>
    </w:p>
    <w:p>
      <w:pPr>
        <w:pStyle w:val="652"/>
        <w:ind w:firstLine="0"/>
        <w:spacing w:line="480" w:lineRule="exact"/>
        <w:rPr>
          <w:rFonts w:hint="eastAsia"/>
          <w:b/>
          <w:sz w:val="28"/>
          <w:highlight w:val="none"/>
        </w:rPr>
        <w:outlineLvl w:val="1"/>
      </w:pPr>
      <w:r>
        <w:rPr>
          <w:rFonts w:hint="eastAsia"/>
          <w:b/>
          <w:sz w:val="28"/>
          <w:highlight w:val="none"/>
          <w:lang w:eastAsia="zh-CN"/>
        </w:rPr>
        <w:t xml:space="preserve">项目属性：货物类</w:t>
      </w:r>
      <w:r>
        <w:rPr>
          <w:highlight w:val="none"/>
        </w:rPr>
      </w:r>
      <w:r/>
    </w:p>
    <w:p>
      <w:pPr>
        <w:pStyle w:val="652"/>
        <w:ind w:firstLine="0"/>
        <w:spacing w:line="480" w:lineRule="exact"/>
        <w:rPr>
          <w:b/>
          <w:sz w:val="28"/>
          <w:highlight w:val="none"/>
        </w:rPr>
        <w:outlineLvl w:val="1"/>
      </w:pPr>
      <w:r>
        <w:rPr>
          <w:rFonts w:hint="eastAsia"/>
          <w:b/>
          <w:sz w:val="28"/>
          <w:highlight w:val="none"/>
          <w:lang w:eastAsia="zh-CN"/>
        </w:rPr>
        <w:t xml:space="preserve">一</w:t>
      </w:r>
      <w:r>
        <w:rPr>
          <w:b/>
          <w:sz w:val="28"/>
          <w:highlight w:val="none"/>
          <w:lang w:eastAsia="zh-CN"/>
        </w:rPr>
        <w:t xml:space="preserve">、</w:t>
      </w:r>
      <w:r>
        <w:rPr>
          <w:rFonts w:hint="eastAsia"/>
          <w:b/>
          <w:sz w:val="28"/>
          <w:highlight w:val="none"/>
          <w:lang w:eastAsia="zh-CN"/>
        </w:rPr>
        <w:t xml:space="preserve">采购</w:t>
      </w:r>
      <w:r>
        <w:rPr>
          <w:b/>
          <w:sz w:val="28"/>
          <w:highlight w:val="none"/>
          <w:lang w:eastAsia="zh-CN"/>
        </w:rPr>
        <w:t xml:space="preserve">标的清单</w:t>
      </w:r>
      <w:r>
        <w:rPr>
          <w:highlight w:val="none"/>
        </w:rPr>
      </w:r>
      <w:r/>
    </w:p>
    <w:tbl>
      <w:tblPr>
        <w:tblStyle w:val="651"/>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91"/>
        <w:gridCol w:w="1230"/>
        <w:gridCol w:w="1200"/>
        <w:gridCol w:w="2263"/>
      </w:tblGrid>
      <w:tr>
        <w:trPr>
          <w:jc w:val="center"/>
          <w:trHeight w:val="0"/>
          <w:tblHeader/>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采购标的</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数量</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w:t>
            </w:r>
            <w:r>
              <w:rPr>
                <w:highlight w:val="none"/>
              </w:rPr>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对应中小企业划分标准所属行业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智慧黑板（含OPS电脑）      </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highlight w:val="none"/>
              </w:rPr>
            </w:r>
            <w:r/>
          </w:p>
        </w:tc>
        <w:tc>
          <w:tcPr>
            <w:tcW w:w="3191"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视频展台</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shd w:val="clear" w:color="auto" w:fill="auto"/>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highlight w:val="none"/>
              </w:rPr>
            </w:r>
            <w:r/>
          </w:p>
        </w:tc>
        <w:tc>
          <w:tcPr>
            <w:tcW w:w="3191" w:type="dxa"/>
            <w:vAlign w:val="center"/>
            <w:textDirection w:val="lrTb"/>
            <w:noWrap/>
          </w:tcPr>
          <w:p>
            <w:pPr>
              <w:ind w:left="0" w:right="0" w:firstLine="0"/>
              <w:jc w:val="center"/>
              <w:keepLines w:val="0"/>
              <w:keepNext w:val="0"/>
              <w:pageBreakBefore w:val="0"/>
              <w:widowControl/>
              <w:rPr>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智能笔（电子教鞭）</w:t>
            </w:r>
            <w:r>
              <w:rPr>
                <w:highlight w:val="none"/>
              </w:rPr>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highlight w:val="none"/>
              </w:rPr>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rPr>
                <w:highlight w:val="none"/>
              </w:rPr>
            </w:r>
            <w:r/>
          </w:p>
        </w:tc>
        <w:tc>
          <w:tcPr>
            <w:shd w:val="clear" w:color="auto" w:fill="auto"/>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rPr>
                <w:highlight w:val="none"/>
              </w:rPr>
            </w:r>
            <w:r/>
          </w:p>
        </w:tc>
      </w:tr>
    </w:tbl>
    <w:p>
      <w:pPr>
        <w:pStyle w:val="652"/>
        <w:ind w:firstLine="0"/>
        <w:spacing w:line="48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智慧黑板（含OPS电脑）</w:t>
      </w:r>
      <w:r>
        <w:rPr>
          <w:highlight w:val="none"/>
        </w:rPr>
      </w:r>
      <w:r/>
    </w:p>
    <w:p>
      <w:pPr>
        <w:pStyle w:val="652"/>
        <w:ind w:firstLine="0"/>
        <w:spacing w:line="480" w:lineRule="exact"/>
        <w:rPr>
          <w:rFonts w:hint="default"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caps/>
          <w:color w:val="auto"/>
          <w:sz w:val="24"/>
          <w:szCs w:val="24"/>
          <w:highlight w:val="none"/>
          <w:lang w:val="en-US" w:eastAsia="zh-CN" w:bidi="ar-SA"/>
        </w:rPr>
        <w:t xml:space="preserve">本项目涉及教室内墙面修复，要求详见商务部分的其他要求。</w:t>
      </w:r>
      <w:r>
        <w:rPr>
          <w:highlight w:val="none"/>
        </w:rPr>
      </w:r>
      <w:r/>
    </w:p>
    <w:p>
      <w:pPr>
        <w:pStyle w:val="652"/>
        <w:ind w:firstLine="0"/>
        <w:spacing w:line="480" w:lineRule="exact"/>
        <w:rPr>
          <w:rFonts w:hint="eastAsia"/>
          <w:b/>
          <w:sz w:val="28"/>
          <w:highlight w:val="none"/>
        </w:rPr>
        <w:outlineLvl w:val="1"/>
      </w:pPr>
      <w:r>
        <w:rPr>
          <w:rFonts w:hint="eastAsia"/>
          <w:b/>
          <w:sz w:val="28"/>
          <w:highlight w:val="none"/>
          <w:lang w:eastAsia="zh-CN"/>
        </w:rPr>
        <w:t xml:space="preserve">二、政府采购</w:t>
      </w:r>
      <w:r>
        <w:rPr>
          <w:rFonts w:hint="eastAsia"/>
          <w:b/>
          <w:sz w:val="28"/>
          <w:highlight w:val="none"/>
          <w:lang w:val="en-US" w:eastAsia="zh-CN"/>
        </w:rPr>
        <w:t xml:space="preserve">政策落实</w:t>
      </w:r>
      <w:r>
        <w:rPr>
          <w:highlight w:val="none"/>
        </w:rPr>
      </w:r>
      <w:r/>
    </w:p>
    <w:p>
      <w:pPr>
        <w:pStyle w:val="652"/>
        <w:ind w:left="0" w:firstLine="0"/>
        <w:spacing w:line="480" w:lineRule="exact"/>
        <w:rPr>
          <w:rFonts w:hint="eastAsia"/>
          <w:b/>
          <w:sz w:val="24"/>
          <w:szCs w:val="18"/>
          <w:highlight w:val="none"/>
        </w:rPr>
        <w:outlineLvl w:val="1"/>
      </w:pPr>
      <w:r>
        <w:rPr>
          <w:rFonts w:hint="eastAsia"/>
          <w:b/>
          <w:sz w:val="24"/>
          <w:szCs w:val="18"/>
          <w:highlight w:val="none"/>
          <w:lang w:eastAsia="zh-CN"/>
        </w:rPr>
        <w:t xml:space="preserve">（</w:t>
      </w:r>
      <w:r>
        <w:rPr>
          <w:rFonts w:hint="eastAsia"/>
          <w:b/>
          <w:sz w:val="24"/>
          <w:szCs w:val="18"/>
          <w:highlight w:val="none"/>
          <w:lang w:val="en-US" w:eastAsia="zh-CN"/>
        </w:rPr>
        <w:t xml:space="preserve">一</w:t>
      </w:r>
      <w:r>
        <w:rPr>
          <w:rFonts w:hint="eastAsia"/>
          <w:b/>
          <w:sz w:val="24"/>
          <w:szCs w:val="18"/>
          <w:highlight w:val="none"/>
          <w:lang w:eastAsia="zh-CN"/>
        </w:rPr>
        <w:t xml:space="preserve">）采购本国产品的支持政策</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1.本项目对采购本国产品给予政策支持，具体内容见</w:t>
      </w:r>
      <w:r>
        <w:rPr>
          <w:rFonts w:hint="eastAsia" w:ascii="仿宋" w:hAnsi="仿宋" w:eastAsia="仿宋" w:cs="仿宋"/>
          <w:sz w:val="24"/>
          <w:szCs w:val="24"/>
          <w:highlight w:val="none"/>
          <w:lang w:eastAsia="zh-CN"/>
        </w:rPr>
        <w:t xml:space="preserve">询价文件</w:t>
      </w:r>
      <w:r>
        <w:rPr>
          <w:rFonts w:hint="eastAsia" w:ascii="仿宋" w:hAnsi="仿宋" w:eastAsia="仿宋" w:cs="仿宋"/>
          <w:sz w:val="24"/>
          <w:szCs w:val="24"/>
          <w:highlight w:val="none"/>
        </w:rPr>
        <w:t xml:space="preserve">“第二章 供应商须知”。</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836"/>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652"/>
        <w:ind w:left="0" w:firstLine="0"/>
        <w:spacing w:line="480" w:lineRule="exact"/>
        <w:rPr>
          <w:rFonts w:hint="default" w:ascii="宋体" w:hAnsi="宋体" w:eastAsia="宋体" w:cs="Times New Roman"/>
          <w:b/>
          <w:sz w:val="24"/>
          <w:szCs w:val="18"/>
          <w:highlight w:val="none"/>
        </w:rPr>
        <w:outlineLvl w:val="1"/>
      </w:pPr>
      <w:r>
        <w:rPr>
          <w:rFonts w:hint="eastAsia" w:ascii="宋体" w:hAnsi="宋体" w:eastAsia="宋体" w:cs="Times New Roman"/>
          <w:b/>
          <w:sz w:val="24"/>
          <w:szCs w:val="18"/>
          <w:highlight w:val="none"/>
          <w:lang w:eastAsia="zh-CN"/>
        </w:rPr>
        <w:t xml:space="preserve">（</w:t>
      </w:r>
      <w:r>
        <w:rPr>
          <w:rFonts w:hint="eastAsia" w:ascii="宋体" w:hAnsi="宋体" w:eastAsia="宋体" w:cs="Times New Roman"/>
          <w:b/>
          <w:sz w:val="24"/>
          <w:szCs w:val="18"/>
          <w:highlight w:val="none"/>
          <w:lang w:val="en-US" w:eastAsia="zh-CN"/>
        </w:rPr>
        <w:t xml:space="preserve">二</w:t>
      </w:r>
      <w:r>
        <w:rPr>
          <w:rFonts w:hint="eastAsia" w:ascii="宋体" w:hAnsi="宋体" w:eastAsia="宋体" w:cs="Times New Roman"/>
          <w:b/>
          <w:sz w:val="24"/>
          <w:szCs w:val="18"/>
          <w:highlight w:val="none"/>
          <w:lang w:eastAsia="zh-CN"/>
        </w:rPr>
        <w:t xml:space="preserve">）</w:t>
      </w:r>
      <w:r>
        <w:rPr>
          <w:rFonts w:hint="eastAsia" w:ascii="宋体" w:hAnsi="宋体" w:eastAsia="宋体" w:cs="Times New Roman"/>
          <w:b/>
          <w:sz w:val="24"/>
          <w:szCs w:val="18"/>
          <w:highlight w:val="none"/>
          <w:lang w:val="en-US" w:eastAsia="zh-CN"/>
        </w:rPr>
        <w:t xml:space="preserve">绿色采购</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w:t>
      </w:r>
      <w:r>
        <w:rPr>
          <w:rFonts w:hint="eastAsia" w:ascii="仿宋" w:hAnsi="仿宋" w:eastAsia="仿宋" w:cs="仿宋"/>
          <w:color w:val="000000"/>
          <w:sz w:val="24"/>
          <w:szCs w:val="24"/>
          <w:highlight w:val="none"/>
        </w:rPr>
        <w:t xml:space="preserve">《关于印发节能产品政府采购品目清单的通知》</w:t>
      </w:r>
      <w:r>
        <w:rPr>
          <w:rFonts w:hint="eastAsia" w:ascii="仿宋" w:hAnsi="仿宋" w:eastAsia="仿宋" w:cs="仿宋"/>
          <w:sz w:val="24"/>
          <w:szCs w:val="24"/>
          <w:highlight w:val="none"/>
        </w:rPr>
        <w:t xml:space="preserve">（财库〔2019〕19号）。需求标准见《商品包装政府采购需求标准（试行）》《快递包装政府采购需求标准（试行）》（财办库〔2020〕123号）、《绿色数据中心政府采购需求标准（试行）》（财库〔2023〕7号）。</w:t>
      </w:r>
      <w:r>
        <w:rPr>
          <w:highlight w:val="none"/>
        </w:rPr>
      </w:r>
      <w:r/>
    </w:p>
    <w:p>
      <w:pPr>
        <w:pStyle w:val="837"/>
        <w:rPr>
          <w:rFonts w:hint="eastAsia"/>
          <w:highlight w:val="none"/>
        </w:rPr>
      </w:pPr>
      <w:r>
        <w:rPr>
          <w:rFonts w:hint="eastAsia"/>
          <w:highlight w:val="none"/>
        </w:rPr>
      </w:r>
      <w:r>
        <w:rPr>
          <w:highlight w:val="none"/>
        </w:rPr>
      </w:r>
      <w:r/>
    </w:p>
    <w:p>
      <w:pPr>
        <w:pStyle w:val="652"/>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eastAsia="zh-CN"/>
        </w:rPr>
        <w:t xml:space="preserve">三</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rPr>
          <w:highlight w:val="none"/>
        </w:rPr>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南通市启秀中学，励志楼原有教学多媒体设备已使用多年，设备问题频出，影响正常教学使用；为改善现有教学质量，计划将励志楼原有32套教学多媒体设备更换为智慧黑板及视频展台，以满足学校师生日常教学使用。（具体安装教室位置服从学校安排）</w:t>
      </w:r>
      <w:r>
        <w:rPr>
          <w:highlight w:val="none"/>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rPr>
          <w:highlight w:val="none"/>
        </w:rPr>
      </w:r>
      <w:r/>
    </w:p>
    <w:p>
      <w:pPr>
        <w:pStyle w:val="836"/>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所投产品的技术标准按国家标准执行，无国家标准的，按行业标准执行，无国家和行业标准的，按企业标准执行；但在询价文件中有特别要求的，按询价文件中规定的要求执行，并且符合相关法律法规规定的要求。</w:t>
      </w:r>
      <w:r>
        <w:rPr>
          <w:highlight w:val="none"/>
        </w:rPr>
      </w:r>
      <w:r/>
    </w:p>
    <w:p>
      <w:pPr>
        <w:pStyle w:val="836"/>
        <w:ind w:left="0" w:firstLine="482"/>
        <w:keepLines w:val="0"/>
        <w:keepNext w:val="0"/>
        <w:pageBreakBefore w:val="0"/>
        <w:spacing w:after="0"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所投智慧黑板产品必须通过CCC认证（中国强制性产品认证），投标时需提供所投智慧黑板3C认证证书。</w:t>
      </w:r>
      <w:r>
        <w:rPr>
          <w:highlight w:val="none"/>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rPr>
          <w:highlight w:val="none"/>
        </w:rPr>
      </w:r>
      <w:r/>
    </w:p>
    <w:p>
      <w:pPr>
        <w:numPr>
          <w:ilvl w:val="0"/>
          <w:numId w:val="0"/>
        </w:numPr>
        <w:ind w:left="600"/>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1.产品技术参数 </w:t>
      </w:r>
      <w:r>
        <w:rPr>
          <w:highlight w:val="none"/>
        </w:rPr>
      </w:r>
      <w:r/>
    </w:p>
    <w:tbl>
      <w:tblPr>
        <w:tblStyle w:val="651"/>
        <w:tblW w:w="8522"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460"/>
        <w:gridCol w:w="6262"/>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设备名称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技术参数要求</w:t>
            </w:r>
            <w:r>
              <w:rPr>
                <w:highlight w:val="none"/>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智慧黑板（含OPS电脑）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numPr>
                <w:ilvl w:val="0"/>
                <w:numId w:val="1"/>
              </w:numPr>
              <w:ind w:left="0" w:right="0" w:firstLine="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整体设计</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1.整机整体外观尺寸：宽≥4200mm，高≥1200mm，厚≤120mm。整机采用全金属外壳，三拼接平面一体化设计。</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2.屏幕采用≥86英寸液晶显示器，采⽤LED液晶A规屏，显示⽐例16:9。显示分辨率3840*2160。</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3.侧置输入接口具备≥2路HDMI、1路RS232（RJ45形态）、1路USB接口，1路音频输出、1路触控USB输出；前置输入接口≥3路USB接口（包含≥1路Type-C、≥2路USB）。</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4.整机采用电容触控技术，Windows系统和Android系统均能多点触控流畅。</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★5.整机嵌入式系统版本≥Android 15及以上，内存≥2GB，存储空间≥32GB。（供货前提供第三方权威机构出具的检测报告复印件并加盖供应商公章）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★6.整机设备内置不低于2.2声道扬声器，最大功率≥60W，扬声器支持独立维护拆卸或模块化拆装。（供货前提供第三方权威机构出具的检测报告复印件并加盖供应商公章）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7.整机内置非独立外扩展的4阵列麦克风，可用于对教室环境音频进行采集，麦克风拾音距离≥10米。</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9.整机上边框内置非独立摄像头，采用一体化集成设计，支持拍摄</w:t>
            </w:r>
            <w:r>
              <w:rPr>
                <w:rFonts w:hint="eastAsia" w:ascii="仿宋" w:hAnsi="仿宋" w:eastAsia="仿宋" w:cs="仿宋"/>
                <w:color w:val="auto"/>
                <w:sz w:val="22"/>
                <w:szCs w:val="22"/>
                <w:highlight w:val="none"/>
              </w:rPr>
              <w:t xml:space="preserve">≥</w:t>
            </w:r>
            <w:r>
              <w:rPr>
                <w:rStyle w:val="878"/>
                <w:rFonts w:hint="eastAsia" w:ascii="仿宋" w:hAnsi="仿宋" w:eastAsia="仿宋" w:cs="仿宋"/>
                <w:color w:val="auto"/>
                <w:sz w:val="24"/>
                <w:szCs w:val="24"/>
                <w:highlight w:val="none"/>
                <w:lang w:val="en-US" w:eastAsia="zh-CN" w:bidi="ar"/>
              </w:rPr>
              <w:t xml:space="preserve">1300 万像素的照片和视频，支持输出 4k 分辨率的视频。</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10.在Android和Windows系统下，可实现Wi-Fi无线上网连接、AP无线热点发射等。</w:t>
            </w:r>
            <w:r>
              <w:rPr>
                <w:highlight w:val="none"/>
              </w:rPr>
            </w:r>
            <w:r/>
          </w:p>
          <w:p>
            <w:pPr>
              <w:numPr>
                <w:ilvl w:val="0"/>
                <w:numId w:val="2"/>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整机Windows通道支持文件传输应用，支持通过扫码、wifi直连，实现文件传输功能。</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12.支持微课制作工具，支持对全屏/区域的屏幕内容、整机声音、麦克风声音、摄像头内容进行录制，支持切换录制分辨率，支持录制过程中进行画笔标注与擦除；支持中途暂停录制和继续录制。（供货前提供第三方权威机构出具的检测报告复印件并加盖供应商公章）</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二、插拔式电脑模块：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1.无需工具即可快速拆卸电脑模块。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2.具有标准PC防盗锁孔，确保电脑模块安全防盗。</w:t>
            </w:r>
            <w:r>
              <w:rPr>
                <w:rStyle w:val="878"/>
                <w:rFonts w:hint="eastAsia" w:ascii="仿宋" w:hAnsi="仿宋" w:eastAsia="仿宋" w:cs="仿宋"/>
                <w:color w:val="auto"/>
                <w:sz w:val="24"/>
                <w:szCs w:val="24"/>
                <w:highlight w:val="none"/>
                <w:lang w:val="en-US" w:eastAsia="zh-CN" w:bidi="ar"/>
              </w:rPr>
              <w:br/>
            </w:r>
            <w:r>
              <w:rPr>
                <w:rStyle w:val="878"/>
                <w:rFonts w:hint="eastAsia" w:ascii="仿宋" w:hAnsi="仿宋" w:eastAsia="仿宋" w:cs="仿宋"/>
                <w:color w:val="auto"/>
                <w:sz w:val="24"/>
                <w:szCs w:val="24"/>
                <w:highlight w:val="none"/>
                <w:lang w:val="en-US" w:eastAsia="zh-CN" w:bidi="ar"/>
              </w:rPr>
              <w:t xml:space="preserve">3.电脑模块CPU要求：主频≥2.0GHz，不低于8核心十二线程；配置要求：不低于 DDR4 8GB内存，256GB SSD硬盘。</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三、集控软件</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1.设计架构：系统采用模块化的架构设计B/S架构，通过浏览器打开并用微信扫码登录、账号密码登录和微信授权登录完成鉴权，即可使用数字校园产品的各项功能模块。</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2.登录认证：基于Web浏览器，提供用户统一登录认证功能，包括：手机号码注册、登录、忘记密码、扫码登录、账号管理等功能。</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3.支持管理者开启掌上看班服务，拥有掌上看班权限的老师可在移动端或PC客户端实时巡班，并进行基础远程管控。</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★4.支持AI自动监测设备画面色情、游戏等风险内容或元素；支持不良画面自动提醒；支持将每天监测到的风险结果自动推送至公众号提醒管理；（供货前提供</w:t>
            </w:r>
            <w:r>
              <w:rPr>
                <w:rStyle w:val="878"/>
                <w:rFonts w:hint="eastAsia" w:ascii="仿宋" w:hAnsi="仿宋" w:eastAsia="仿宋" w:cs="仿宋"/>
                <w:color w:val="auto"/>
                <w:sz w:val="24"/>
                <w:szCs w:val="24"/>
                <w:highlight w:val="none"/>
                <w:lang w:val="en-US" w:eastAsia="zh-CN" w:bidi="ar"/>
              </w:rPr>
              <w:t xml:space="preserve">第三方权威机构</w:t>
            </w:r>
            <w:r>
              <w:rPr>
                <w:rStyle w:val="878"/>
                <w:rFonts w:hint="eastAsia" w:ascii="仿宋" w:hAnsi="仿宋" w:eastAsia="仿宋" w:cs="仿宋"/>
                <w:color w:val="auto"/>
                <w:sz w:val="24"/>
                <w:szCs w:val="24"/>
                <w:highlight w:val="none"/>
                <w:lang w:val="en-US" w:eastAsia="zh-CN" w:bidi="ar"/>
              </w:rPr>
              <w:t xml:space="preserve">出具的检测报告复印件并加盖供应商公章）</w:t>
            </w:r>
            <w:r>
              <w:rPr>
                <w:highlight w:val="none"/>
              </w:rPr>
            </w:r>
            <w:r/>
          </w:p>
          <w:p>
            <w:pPr>
              <w:numPr>
                <w:ilvl w:val="0"/>
                <w:numId w:val="0"/>
              </w:numPr>
              <w:ind w:right="0"/>
              <w:jc w:val="left"/>
              <w:keepLines w:val="0"/>
              <w:keepNext w:val="0"/>
              <w:pageBreakBefore w:val="0"/>
              <w:widowControl/>
              <w:rPr>
                <w:rStyle w:val="878"/>
                <w:rFonts w:hint="eastAsia" w:ascii="仿宋" w:hAnsi="仿宋" w:eastAsia="仿宋" w:cs="仿宋"/>
                <w:color w:val="auto"/>
                <w:sz w:val="24"/>
                <w:szCs w:val="24"/>
                <w:highlight w:val="none"/>
              </w:rPr>
              <w:suppressLineNumbers w:val="0"/>
            </w:pPr>
            <w:r>
              <w:rPr>
                <w:rStyle w:val="878"/>
                <w:rFonts w:hint="eastAsia" w:ascii="仿宋" w:hAnsi="仿宋" w:eastAsia="仿宋" w:cs="仿宋"/>
                <w:color w:val="auto"/>
                <w:sz w:val="24"/>
                <w:szCs w:val="24"/>
                <w:highlight w:val="none"/>
                <w:lang w:val="en-US" w:eastAsia="zh-CN" w:bidi="ar"/>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highlight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视频展台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left"/>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Style w:val="877"/>
                <w:rFonts w:hint="eastAsia" w:ascii="仿宋" w:hAnsi="仿宋" w:eastAsia="仿宋" w:cs="仿宋"/>
                <w:color w:val="auto"/>
                <w:sz w:val="24"/>
                <w:szCs w:val="24"/>
                <w:highlight w:val="none"/>
                <w:lang w:val="en-US" w:eastAsia="zh-CN" w:bidi="ar"/>
              </w:rPr>
              <w:t xml:space="preserve">★1.摄像头像素≥800万（供货前提供</w:t>
            </w:r>
            <w:r>
              <w:rPr>
                <w:rStyle w:val="878"/>
                <w:rFonts w:hint="eastAsia" w:ascii="仿宋" w:hAnsi="仿宋" w:eastAsia="仿宋" w:cs="仿宋"/>
                <w:color w:val="auto"/>
                <w:sz w:val="24"/>
                <w:szCs w:val="24"/>
                <w:highlight w:val="none"/>
                <w:lang w:val="en-US" w:eastAsia="zh-CN" w:bidi="ar"/>
              </w:rPr>
              <w:t xml:space="preserve">第三方权威</w:t>
            </w:r>
            <w:r>
              <w:rPr>
                <w:rStyle w:val="877"/>
                <w:rFonts w:hint="eastAsia" w:ascii="仿宋" w:hAnsi="仿宋" w:eastAsia="仿宋" w:cs="仿宋"/>
                <w:color w:val="auto"/>
                <w:sz w:val="24"/>
                <w:szCs w:val="24"/>
                <w:highlight w:val="none"/>
                <w:lang w:val="en-US" w:eastAsia="zh-CN" w:bidi="ar"/>
              </w:rPr>
              <w:t xml:space="preserve">机构出具的检测报告复印件并加盖供应商公章）</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2.摄像头支持自动对焦，A4大小拍摄幅面，1080P动态视频预览达到30帧/秒。</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3.整机采用圆弧式设计，无锐角；托板可承重≥3kg，同时托板采用磁吸吸附式机构。</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4.展示托板正上方具备LED补光灯，补光灯开关采用触摸按键设计，同时可通过视频展台软件直接控制开关；</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5.摄像头部分进行外壳防护等级试验，防护等级达到IP4X级别。</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6.支持对展台画面进行实时批注、放大、缩小、旋转、自适应、冻结画面等操作。</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7.具备图像增强功能，可自动裁剪背景并增强文字显示，使文档画面更清晰。</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8.具备图像、文本或动态等多种情景模式，适应不同展示内容。</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★9.二维码扫码：支持二维码识别功能，将书本上的二维码放入扫描框内即可自动扫描，可获取电子教学资源。（供货前提供</w:t>
            </w:r>
            <w:r>
              <w:rPr>
                <w:rStyle w:val="878"/>
                <w:rFonts w:hint="eastAsia" w:ascii="仿宋" w:hAnsi="仿宋" w:eastAsia="仿宋" w:cs="仿宋"/>
                <w:color w:val="auto"/>
                <w:sz w:val="24"/>
                <w:szCs w:val="24"/>
                <w:highlight w:val="none"/>
                <w:lang w:val="en-US" w:eastAsia="zh-CN" w:bidi="ar"/>
              </w:rPr>
              <w:t xml:space="preserve">第三方权威机构</w:t>
            </w:r>
            <w:r>
              <w:rPr>
                <w:rStyle w:val="877"/>
                <w:rFonts w:hint="eastAsia" w:ascii="仿宋" w:hAnsi="仿宋" w:eastAsia="仿宋" w:cs="仿宋"/>
                <w:color w:val="auto"/>
                <w:sz w:val="24"/>
                <w:szCs w:val="24"/>
                <w:highlight w:val="none"/>
                <w:lang w:val="en-US" w:eastAsia="zh-CN" w:bidi="ar"/>
              </w:rPr>
              <w:t xml:space="preserve">出具的检测报告复印件并加盖供应商公章）</w:t>
            </w:r>
            <w:r>
              <w:rPr>
                <w:rStyle w:val="877"/>
                <w:rFonts w:hint="eastAsia" w:ascii="仿宋" w:hAnsi="仿宋" w:eastAsia="仿宋" w:cs="仿宋"/>
                <w:color w:val="auto"/>
                <w:sz w:val="24"/>
                <w:szCs w:val="24"/>
                <w:highlight w:val="none"/>
                <w:lang w:val="en-US" w:eastAsia="zh-CN" w:bidi="ar"/>
              </w:rPr>
              <w:br/>
            </w:r>
            <w:r>
              <w:rPr>
                <w:rStyle w:val="877"/>
                <w:rFonts w:hint="eastAsia" w:ascii="仿宋" w:hAnsi="仿宋" w:eastAsia="仿宋" w:cs="仿宋"/>
                <w:color w:val="auto"/>
                <w:sz w:val="24"/>
                <w:szCs w:val="24"/>
                <w:highlight w:val="none"/>
                <w:lang w:val="en-US" w:eastAsia="zh-CN" w:bidi="ar"/>
              </w:rPr>
              <w:t xml:space="preserve">10.支持故障自动检测，在软件无法出现展台拍摄画面时，自动出现检测链接，检测“无画面”的原因，并给出引导性解决方案。可判断硬件连接、显卡驱动、摄像头占用、软件版本等问题。</w:t>
            </w:r>
            <w:r>
              <w:rPr>
                <w:highlight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智能笔（电子教鞭）</w:t>
            </w:r>
            <w:r>
              <w:rPr>
                <w:highlight w:val="none"/>
              </w:rPr>
            </w:r>
            <w:r/>
          </w:p>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1.采用 2.4G 无线连接，标配 USB nano 接收器，即插即用。</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2. 采用 Type-C 充电接口，带自动休眠节电设计，电池容量≥130mAh。</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3. 集触控书写、翻页、激光指示、空鼠于一体，在安卓及 Windows 系统下均可正常使用翻页与空鼠功能；笔型设计，精致小巧，便于手持。</w:t>
            </w:r>
            <w:r>
              <w:rPr>
                <w:highlight w:val="none"/>
              </w:rPr>
            </w:r>
            <w:r/>
          </w:p>
          <w:p>
            <w:pPr>
              <w:ind w:left="0" w:right="0" w:firstLine="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4.支持与所投智慧黑板品牌型号匹配使用，接收器可在同品牌同批次设备间通用。</w:t>
            </w:r>
            <w:r>
              <w:rPr>
                <w:highlight w:val="none"/>
              </w:rPr>
            </w:r>
            <w:r/>
          </w:p>
        </w:tc>
      </w:tr>
    </w:tbl>
    <w:p>
      <w:pPr>
        <w:numPr>
          <w:ilvl w:val="0"/>
          <w:numId w:val="0"/>
        </w:numPr>
        <w:ind w:left="600"/>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2.技术响应要求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（1）技术响应文件的内容，不得有缺陷或漏项。否则有可能被视为未实质性响应询价文件要求而作无效投标处理。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（2）技术响应文件应能明确载明：产品品牌、产品功能简介、安装完成的时间、免费维保期、维保期内容、维护保修响应时间等。</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项目所含设备、材料等运输及安装，调试及相关施工集成所有必需辅材，如清单中未列出，而属于项目所必须的，请自行增加，如有遗漏，视作赠送；项目要求进行设备的安装，在清单中未曾反映的工程量，请自行考虑在报价内，成交后不再作任何更改及费用的增加，但必须保证系统的正常高效运行，由此产生的额外费用视作赠送。</w:t>
      </w:r>
      <w:r>
        <w:rPr>
          <w:highlight w:val="none"/>
        </w:rPr>
      </w:r>
      <w:r/>
    </w:p>
    <w:p>
      <w:pPr>
        <w:ind w:firstLine="562"/>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3.质量要求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（1）成交供应商应保证货物是全新、未使用过的原装合格正品，并完全符合询价文件及本项目合同规定的质量、规格和性能的要求。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（2）产品的包装，国家或行业主管部门有规定的，按规定执行。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（3）成交供应商应保证提供的产品不得侵犯第三方专利权、商标权和工业设计权、版权等。否则，成交供应商应负全部责任，并承担由此引起的一切后果。</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（4）成交供应商应保证其货物在正确安装、正常使用和保养条件下，在其使用寿命期内应具有满意的性能。</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（5）成交供应商应采取必要的安全措施保证货物的运输及安装的安全，并承担货物的运输及安装过程中产生的一切风险及全部责任。</w:t>
      </w:r>
      <w:r>
        <w:rPr>
          <w:highlight w:val="none"/>
        </w:rPr>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rPr>
          <w:highlight w:val="none"/>
        </w:rPr>
      </w:r>
      <w:r/>
    </w:p>
    <w:p>
      <w:pPr>
        <w:numPr>
          <w:ilvl w:val="0"/>
          <w:numId w:val="0"/>
        </w:numPr>
        <w:jc w:val="both"/>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（一）采购标的的数量、采购项目交付或者实施的时间和地点</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1.采购标的的数量：32套。</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2.采购项目交付时间：合同签订后</w:t>
      </w:r>
      <w:r>
        <w:rPr>
          <w:rFonts w:hint="eastAsia" w:ascii="仿宋" w:hAnsi="仿宋" w:eastAsia="仿宋" w:cs="仿宋"/>
          <w:b/>
          <w:bCs/>
          <w:caps/>
          <w:color w:val="auto"/>
          <w:sz w:val="24"/>
          <w:szCs w:val="24"/>
          <w:highlight w:val="none"/>
          <w:lang w:val="en-US" w:eastAsia="zh-CN" w:bidi="ar-SA"/>
        </w:rPr>
        <w:t xml:space="preserve">25日历天</w:t>
      </w:r>
      <w:r>
        <w:rPr>
          <w:rFonts w:hint="eastAsia" w:ascii="仿宋" w:hAnsi="仿宋" w:eastAsia="仿宋" w:cs="仿宋"/>
          <w:caps/>
          <w:color w:val="auto"/>
          <w:sz w:val="24"/>
          <w:szCs w:val="24"/>
          <w:highlight w:val="none"/>
          <w:lang w:val="en-US" w:eastAsia="zh-CN" w:bidi="ar-SA"/>
        </w:rPr>
        <w:t xml:space="preserve">内送到指定地点并完成安装调试工作，具体以采购人通知为准。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3.采购项目交付地点：根据采购人要求，产品送至采购人指定的地点进行安装 。</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（二）采购标的需满足的服务标准、期限、效率等要求</w:t>
      </w:r>
      <w:r>
        <w:rPr>
          <w:highlight w:val="none"/>
        </w:rPr>
      </w:r>
      <w:r/>
    </w:p>
    <w:p>
      <w:pPr>
        <w:ind w:left="0" w:firstLine="560"/>
        <w:jc w:val="both"/>
        <w:keepLines w:val="0"/>
        <w:keepNext w:val="0"/>
        <w:pageBreakBefore w:val="0"/>
        <w:spacing w:after="0" w:line="480" w:lineRule="exact"/>
        <w:widowControl w:val="off"/>
        <w:rPr>
          <w:rFonts w:hint="eastAsia"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1.产品质保期</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（1）本项目免费质保期为：验收合格之日起计至少</w:t>
      </w:r>
      <w:r>
        <w:rPr>
          <w:rFonts w:hint="eastAsia" w:ascii="仿宋" w:hAnsi="仿宋" w:eastAsia="仿宋" w:cs="仿宋"/>
          <w:b/>
          <w:bCs/>
          <w:caps/>
          <w:color w:val="auto"/>
          <w:sz w:val="24"/>
          <w:szCs w:val="24"/>
          <w:highlight w:val="none"/>
          <w:lang w:val="en-US" w:eastAsia="zh-CN" w:bidi="ar-SA"/>
        </w:rPr>
        <w:t xml:space="preserve">3年（即至少36个月）</w:t>
      </w:r>
      <w:r>
        <w:rPr>
          <w:rFonts w:hint="eastAsia" w:ascii="仿宋" w:hAnsi="仿宋" w:eastAsia="仿宋" w:cs="仿宋"/>
          <w:caps/>
          <w:color w:val="auto"/>
          <w:sz w:val="24"/>
          <w:szCs w:val="24"/>
          <w:highlight w:val="none"/>
          <w:lang w:val="en-US" w:eastAsia="zh-CN" w:bidi="ar-SA"/>
        </w:rPr>
        <w:t xml:space="preserve">所有产品终身保修，包括非人为因素发生的设备修理、更换的费用。</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在质保期内，整机需提供从验收合格之日起成交供应商或原厂商至少三年免费质保（含免费上门服务）。成交供应商在成交后签订合同前须提供成交供应商或原厂商免费质保及上门服务的承诺函原件，否则采购人有权取消其成交资格。</w:t>
      </w:r>
      <w:r>
        <w:rPr>
          <w:highlight w:val="none"/>
        </w:rPr>
      </w:r>
      <w:r/>
    </w:p>
    <w:p>
      <w:pPr>
        <w:ind w:left="0" w:firstLine="560"/>
        <w:jc w:val="both"/>
        <w:keepLines w:val="0"/>
        <w:keepNext w:val="0"/>
        <w:pageBreakBefore w:val="0"/>
        <w:spacing w:after="0" w:line="480" w:lineRule="exact"/>
        <w:widowControl w:val="off"/>
        <w:rPr>
          <w:rFonts w:hint="eastAsia"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2.售后服务</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（1）本项目须提供本地化售后维护服务，为此供应商须提供详细的售后服务方案。</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（2）成交供应商负责安装、调试、配合采购人进行验收，并承担因此发生的一切费用。</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（3）质保期内免费提供设备的维修维护，包括非人为因素发生的设备修理、更换的费用。过质保期后应提供上门维修，维修费用只收取零部件成本费。</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须提供产品出现故障后的维修服务：供应商能够做到完成安装和调试后，确保7*24小时的故障响应模式，可以做到15分钟响应，1小时内到达故障现场，一般故障2个小时到场解决，重大故障4个小时到场解决。</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紧急情况下需随叫随到，若48小时不能修复的，供应商需免费提供备用机，以免影响正常教学。</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（5）安装调试完毕后，成交供应商应对学校任课教师进行集中使用培训。</w:t>
      </w:r>
      <w:r>
        <w:rPr>
          <w:highlight w:val="none"/>
        </w:rPr>
      </w:r>
      <w:r/>
    </w:p>
    <w:p>
      <w:pPr>
        <w:ind w:left="0" w:firstLine="560"/>
        <w:jc w:val="both"/>
        <w:keepLines w:val="0"/>
        <w:keepNext w:val="0"/>
        <w:pageBreakBefore w:val="0"/>
        <w:spacing w:after="0" w:line="480" w:lineRule="exact"/>
        <w:widowControl w:val="off"/>
        <w:rPr>
          <w:rFonts w:hint="default" w:ascii="仿宋" w:hAnsi="仿宋" w:eastAsia="仿宋" w:cs="仿宋"/>
          <w:b/>
          <w:sz w:val="28"/>
          <w:szCs w:val="20"/>
          <w:highlight w:val="none"/>
        </w:rPr>
      </w:pPr>
      <w:r>
        <w:rPr>
          <w:rFonts w:hint="eastAsia" w:ascii="仿宋" w:hAnsi="仿宋" w:eastAsia="仿宋" w:cs="仿宋"/>
          <w:b/>
          <w:sz w:val="28"/>
          <w:szCs w:val="20"/>
          <w:highlight w:val="none"/>
          <w:lang w:val="en-US" w:eastAsia="zh-CN" w:bidi="ar-SA"/>
        </w:rPr>
        <w:t xml:space="preserve">3.其他要求</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本项目涉及教室内墙面修复，要求墙面平整、观感美观。供应商可自行勘查现场，学校不再统一组织。因项目涉及校园安全，经采购人许可后，可利用部分节假日或夜间施工。若成交供应商在夜间施工，须待校内全体师生离校后方可进行设备进场及施工作业。每日施工结束后，无论当日进度如何，均须将教室恢复原样并保持整洁，确保次日能够正常使用。由此产生的相关措施费由供应商在投标报价中综合考虑，结算时不予调整。所有工程须在工期内全部完工，清理达标后撤场交付学校使用。</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（三）付款方式</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合同签订，成交供应商完成供货及安装调试结束，待验收合格后由成交供应商开具发票，采购人收到发票后10个工作日内一次性支付至合同价的100%。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履约保证金要求</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1.履约保证金是否收取： 是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2.履约保证金的数额： 本项目成交后的履约保证金为项目中标价的10%。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3.缴纳履约保证金时间：成交供应商在成交通知书发出之日起 30日内。</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4.缴纳履约保证金形式：支票、汇票、本票或者金融机构、担保机构出具的保函、履约保证金保险  等非现金形式。</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5.退还履约保证金时间：成交供应商在按要求保质保量地完成该项目合同并经验收合格后。</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6.退还履约保证金方式： 根据成交供应商缴纳的履约保证金对应具体退还形式一次性退还该合同项目的履约保证金。  </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7.退还履约保证金条件：成交供应商在按要求保质保量地完成该项目合同并通过验收后，采购人凭成交供应商提交的申请，一次性退还该合同项目的履约保证金。</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8.不予退还履约保证金的情形：a.由于成交供应商原因，在签订合同后出现不按合同履行的情况，采购人有权将履约保证金作为违约金，全额不予退还，同时采购人亦有权终止合同，成交供应商还须承担相应的法律赔偿责任。b.成交供应商在履约过程中发生违约行为，给采购人造成损失的，采购人有权在成交供应商缴纳的履约保证金中予以扣款，以弥补采购人经济损失，不足的部分成交供应商另外补齐。</w:t>
      </w:r>
      <w:r>
        <w:rPr>
          <w:highlight w:val="none"/>
        </w:rPr>
      </w:r>
      <w:r/>
    </w:p>
    <w:p>
      <w:pPr>
        <w:ind w:firstLine="480"/>
        <w:jc w:val="both"/>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中标（成交）供应商可在南通市公共资源交易金融服务平台（</w:t>
      </w:r>
      <w:r>
        <w:rPr>
          <w:rFonts w:hint="eastAsia" w:ascii="仿宋" w:hAnsi="仿宋" w:eastAsia="仿宋" w:cs="仿宋"/>
          <w:caps/>
          <w:color w:val="auto"/>
          <w:sz w:val="24"/>
          <w:szCs w:val="24"/>
          <w:highlight w:val="none"/>
          <w:lang w:val="en-US" w:eastAsia="zh-CN" w:bidi="ar-SA"/>
        </w:rPr>
        <w:fldChar w:fldCharType="begin"/>
      </w:r>
      <w:r>
        <w:rPr>
          <w:rFonts w:hint="eastAsia" w:ascii="仿宋" w:hAnsi="仿宋" w:eastAsia="仿宋" w:cs="仿宋"/>
          <w:caps/>
          <w:color w:val="auto"/>
          <w:sz w:val="24"/>
          <w:szCs w:val="24"/>
          <w:highlight w:val="none"/>
          <w:lang w:val="en-US" w:eastAsia="zh-CN" w:bidi="ar-SA"/>
        </w:rPr>
        <w:instrText xml:space="preserve"> HYPERLINK "http://ggzyjy.nantong.gov.cn/NTdzbhweb/supermarket/"</w:instrText>
      </w:r>
      <w:r>
        <w:rPr>
          <w:rFonts w:hint="eastAsia" w:ascii="仿宋" w:hAnsi="仿宋" w:eastAsia="仿宋" w:cs="仿宋"/>
          <w:caps/>
          <w:color w:val="auto"/>
          <w:sz w:val="24"/>
          <w:szCs w:val="24"/>
          <w:highlight w:val="none"/>
          <w:lang w:val="en-US" w:eastAsia="zh-CN" w:bidi="ar-SA"/>
        </w:rPr>
        <w:fldChar w:fldCharType="separate"/>
      </w:r>
      <w:r>
        <w:rPr>
          <w:rFonts w:hint="eastAsia" w:ascii="仿宋" w:hAnsi="仿宋" w:eastAsia="仿宋" w:cs="仿宋"/>
          <w:caps/>
          <w:color w:val="auto"/>
          <w:sz w:val="24"/>
          <w:szCs w:val="24"/>
          <w:highlight w:val="none"/>
          <w:lang w:val="en-US" w:eastAsia="zh-CN" w:bidi="ar-SA"/>
        </w:rPr>
        <w:t xml:space="preserve">http://ggzyjy.nantong.gov.cn/NTdzbhweb/supermarket/</w:t>
      </w:r>
      <w:r>
        <w:rPr>
          <w:rFonts w:hint="eastAsia" w:ascii="仿宋" w:hAnsi="仿宋" w:eastAsia="仿宋" w:cs="仿宋"/>
          <w:caps/>
          <w:color w:val="auto"/>
          <w:sz w:val="24"/>
          <w:szCs w:val="24"/>
          <w:highlight w:val="none"/>
          <w:lang w:val="en-US" w:eastAsia="zh-CN" w:bidi="ar-SA"/>
        </w:rPr>
        <w:fldChar w:fldCharType="end"/>
      </w:r>
      <w:r>
        <w:rPr>
          <w:rFonts w:hint="eastAsia" w:ascii="仿宋" w:hAnsi="仿宋" w:eastAsia="仿宋" w:cs="仿宋"/>
          <w:caps/>
          <w:color w:val="auto"/>
          <w:sz w:val="24"/>
          <w:szCs w:val="24"/>
          <w:highlight w:val="none"/>
          <w:lang w:val="en-US" w:eastAsia="zh-CN" w:bidi="ar-SA"/>
        </w:rPr>
        <w:t xml:space="preserve">）“履约保证保险”模块在线申请履约保证保险投保。</w:t>
      </w:r>
      <w:r>
        <w:rPr>
          <w:highlight w:val="none"/>
        </w:rPr>
      </w:r>
      <w:r/>
    </w:p>
    <w:p>
      <w:pPr>
        <w:numPr>
          <w:ilvl w:val="0"/>
          <w:numId w:val="0"/>
        </w:numPr>
        <w:jc w:val="both"/>
        <w:keepLines w:val="0"/>
        <w:keepNext w:val="0"/>
        <w:pageBreakBefore w:val="0"/>
        <w:spacing w:after="0" w:line="480" w:lineRule="exact"/>
        <w:widowControl w:val="off"/>
        <w:rPr>
          <w:rFonts w:hint="eastAsia" w:ascii="宋体" w:hAnsi="宋体" w:eastAsia="宋体" w:cs="宋体"/>
          <w:b/>
          <w:bCs/>
          <w:caps w:val="0"/>
          <w:color w:val="auto"/>
          <w:sz w:val="28"/>
          <w:szCs w:val="28"/>
          <w:highlight w:val="none"/>
        </w:rPr>
        <w:outlineLvl w:val="2"/>
      </w:pPr>
      <w:r>
        <w:rPr>
          <w:rFonts w:hint="eastAsia" w:ascii="宋体" w:hAnsi="宋体" w:eastAsia="宋体" w:cs="宋体"/>
          <w:b/>
          <w:bCs/>
          <w:caps w:val="0"/>
          <w:color w:val="auto"/>
          <w:sz w:val="28"/>
          <w:szCs w:val="28"/>
          <w:highlight w:val="none"/>
          <w:lang w:val="en-US" w:eastAsia="zh-CN" w:bidi="ar-SA"/>
        </w:rPr>
        <w:t xml:space="preserve">（四）采购标的的验收标准</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供货初步验收：品牌、型号、数量及标注★技术参数逐条演示。整体安装调试完毕，在接到供应商以书面形式提出验收申请后，5个工作日内及时组织相关专业技术人员，按国家制造和安装的标准要求进行验收，包括检查技术参数要求中的相关佐证材料原件，不符合询价文件要求，甲方有权单方解除合同。</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2.所供产品交付使用时，供应商必须向需方提供产品说明书、质量保证书、保修卡、合格证等必须具备的相关资料和必备的附件。</w:t>
      </w:r>
      <w:r>
        <w:rPr>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3.成交供应商必须负责所采购产品的运输，并派有经验的技术人员到现场进行卸货、安装，经调试、检测合格后交付使用，其费用由成交供应商承担，包含在报价中。 </w:t>
      </w:r>
      <w:r>
        <w:rPr>
          <w:highlight w:val="none"/>
        </w:rPr>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rPr>
          <w:highlight w:val="none"/>
        </w:rPr>
      </w:r>
      <w:r/>
    </w:p>
    <w:p>
      <w:pPr>
        <w:numPr>
          <w:ilvl w:val="0"/>
          <w:numId w:val="0"/>
        </w:numPr>
        <w:jc w:val="both"/>
        <w:keepLines w:val="0"/>
        <w:keepNext w:val="0"/>
        <w:pageBreakBefore w:val="0"/>
        <w:spacing w:after="0" w:line="440" w:lineRule="exact"/>
        <w:widowControl w:val="off"/>
        <w:rPr>
          <w:rFonts w:hint="eastAsia" w:ascii="宋体" w:hAnsi="宋体"/>
          <w:bCs/>
          <w:i/>
          <w:color w:val="auto"/>
          <w:sz w:val="24"/>
          <w:szCs w:val="21"/>
          <w:highlight w:val="none"/>
          <w:u w:val="singl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rPr>
          <w:highlight w:val="none"/>
        </w:rPr>
      </w:r>
      <w:r/>
    </w:p>
    <w:p>
      <w:pPr>
        <w:keepLines w:val="0"/>
        <w:keepNext w:val="0"/>
        <w:pageBreakBefore w:val="0"/>
        <w:spacing w:before="240" w:after="120" w:line="440" w:lineRule="exact"/>
        <w:widowControl w:val="off"/>
        <w:rPr>
          <w:rFonts w:hint="eastAsia" w:ascii="宋体" w:hAnsi="宋体" w:eastAsia="宋体" w:cs="Times New Roman"/>
          <w:b/>
          <w:bCs/>
          <w:i/>
          <w:iCs w:val="0"/>
          <w:color w:val="auto"/>
          <w:sz w:val="24"/>
          <w:szCs w:val="24"/>
          <w:highlight w:val="none"/>
          <w:u w:val="single"/>
        </w:rPr>
      </w:pPr>
      <w:r>
        <w:rPr>
          <w:rFonts w:hint="eastAsia" w:ascii="宋体" w:hAnsi="宋体"/>
          <w:b/>
          <w:bCs/>
          <w:i/>
          <w:iCs w:val="0"/>
          <w:color w:val="auto"/>
          <w:sz w:val="24"/>
          <w:szCs w:val="24"/>
          <w:highlight w:val="none"/>
          <w:u w:val="single"/>
          <w:lang w:val="en-US" w:eastAsia="zh-CN"/>
        </w:rPr>
        <w:t xml:space="preserve">1.</w:t>
      </w:r>
      <w:r>
        <w:rPr>
          <w:rFonts w:hint="eastAsia" w:ascii="宋体" w:hAnsi="宋体"/>
          <w:b/>
          <w:bCs/>
          <w:i/>
          <w:iCs w:val="0"/>
          <w:color w:val="auto"/>
          <w:sz w:val="24"/>
          <w:szCs w:val="24"/>
          <w:highlight w:val="none"/>
          <w:u w:val="single"/>
        </w:rPr>
        <w:t xml:space="preserve">技术部分实质性要求</w:t>
      </w:r>
      <w:r>
        <w:rPr>
          <w:rFonts w:hint="eastAsia" w:ascii="宋体" w:hAnsi="宋体"/>
          <w:b/>
          <w:bCs/>
          <w:i/>
          <w:iCs w:val="0"/>
          <w:color w:val="auto"/>
          <w:sz w:val="24"/>
          <w:szCs w:val="24"/>
          <w:highlight w:val="none"/>
          <w:u w:val="single"/>
          <w:lang w:eastAsia="zh-CN"/>
        </w:rPr>
        <w:t xml:space="preserve">（</w:t>
      </w:r>
      <w:r>
        <w:rPr>
          <w:rFonts w:hint="eastAsia" w:ascii="宋体" w:hAnsi="宋体"/>
          <w:b/>
          <w:bCs/>
          <w:i/>
          <w:iCs w:val="0"/>
          <w:color w:val="auto"/>
          <w:sz w:val="24"/>
          <w:szCs w:val="24"/>
          <w:highlight w:val="none"/>
          <w:u w:val="single"/>
          <w:lang w:val="en-US" w:eastAsia="zh-CN"/>
        </w:rPr>
        <w:t xml:space="preserve">佐证材料须在《技术要求响应及偏离表》下方列明</w:t>
      </w:r>
      <w:r>
        <w:rPr>
          <w:rFonts w:hint="eastAsia" w:ascii="宋体" w:hAnsi="宋体"/>
          <w:b/>
          <w:bCs/>
          <w:i/>
          <w:iCs w:val="0"/>
          <w:color w:val="auto"/>
          <w:sz w:val="24"/>
          <w:szCs w:val="24"/>
          <w:highlight w:val="none"/>
          <w:u w:val="single"/>
          <w:lang w:eastAsia="zh-CN"/>
        </w:rPr>
        <w:t xml:space="preserve">）</w:t>
      </w:r>
      <w:r>
        <w:rPr>
          <w:highlight w:val="none"/>
        </w:rPr>
      </w:r>
      <w:r/>
    </w:p>
    <w:p>
      <w:pPr>
        <w:pStyle w:val="876"/>
        <w:keepLines w:val="0"/>
        <w:keepNext w:val="0"/>
        <w:pageBreakBefore w:val="0"/>
        <w:spacing w:line="440" w:lineRule="exact"/>
        <w:widowControl w:val="off"/>
        <w:rPr>
          <w:rFonts w:hint="eastAsia" w:ascii="宋体" w:hAnsi="宋体" w:eastAsia="宋体" w:cs="Times New Roman"/>
          <w:b w:val="0"/>
          <w:bCs/>
          <w:i/>
          <w:iCs w:val="0"/>
          <w:color w:val="auto"/>
          <w:sz w:val="24"/>
          <w:szCs w:val="24"/>
          <w:highlight w:val="none"/>
          <w:u w:val="single"/>
          <w:vertAlign w:val="baseline"/>
        </w:rPr>
      </w:pP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1.1实质性指标响应情况（依据要求提供相关佐证材料及承诺函）供应商须承诺在供货前提供标注</w:t>
      </w:r>
      <w:r>
        <w:rPr>
          <w:rFonts w:hint="eastAsia" w:ascii="仿宋" w:hAnsi="仿宋" w:eastAsia="仿宋" w:cs="Times New Roman"/>
          <w:i/>
          <w:iCs w:val="0"/>
          <w:color w:val="auto"/>
          <w:sz w:val="24"/>
          <w:szCs w:val="24"/>
          <w:highlight w:val="none"/>
          <w:u w:val="single"/>
          <w:lang w:val="en-US" w:eastAsia="zh-CN"/>
        </w:rPr>
        <w:t xml:space="preserve">★</w:t>
      </w: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技术参数要求中的相关佐证材料原件并提供样机进行逐条演示。如成交供应商不能提供或不满足上述要求则视为虚假应标，采购人有权解除签订的合同。提供虚假材料的一经发现，采购人将上报同级财政部门按照政府采购法律法规严肃处理。</w:t>
      </w:r>
      <w:r>
        <w:rPr>
          <w:highlight w:val="none"/>
        </w:rPr>
      </w:r>
      <w:r/>
    </w:p>
    <w:p>
      <w:pPr>
        <w:keepLines w:val="0"/>
        <w:keepNext w:val="0"/>
        <w:pageBreakBefore w:val="0"/>
        <w:spacing w:line="440" w:lineRule="exact"/>
        <w:widowControl w:val="off"/>
        <w:rPr>
          <w:rFonts w:hint="default" w:ascii="宋体" w:hAnsi="宋体" w:eastAsia="宋体" w:cs="Times New Roman"/>
          <w:b w:val="0"/>
          <w:bCs/>
          <w:i/>
          <w:iCs w:val="0"/>
          <w:color w:val="auto"/>
          <w:sz w:val="24"/>
          <w:szCs w:val="24"/>
          <w:highlight w:val="none"/>
          <w:u w:val="single"/>
          <w:vertAlign w:val="baseline"/>
        </w:rPr>
      </w:pPr>
      <w:r>
        <w:rPr>
          <w:rFonts w:hint="eastAsia" w:ascii="宋体" w:hAnsi="宋体" w:eastAsia="宋体" w:cs="Times New Roman"/>
          <w:b w:val="0"/>
          <w:bCs/>
          <w:i/>
          <w:iCs w:val="0"/>
          <w:color w:val="auto"/>
          <w:sz w:val="24"/>
          <w:szCs w:val="24"/>
          <w:highlight w:val="none"/>
          <w:u w:val="single"/>
          <w:vertAlign w:val="baseline"/>
          <w:lang w:val="en-US" w:eastAsia="zh-CN" w:bidi="ar-SA"/>
        </w:rPr>
        <w:t xml:space="preserve">1.2所投智慧黑板产品必须通过CCC认证（中国强制性产品认证），投标时须提供所投智慧黑板3C认证证书。</w:t>
      </w:r>
      <w:r>
        <w:rPr>
          <w:highlight w:val="none"/>
        </w:rPr>
      </w:r>
      <w:r/>
    </w:p>
    <w:p>
      <w:pPr>
        <w:numPr>
          <w:ilvl w:val="0"/>
          <w:numId w:val="0"/>
        </w:numPr>
        <w:keepLines w:val="0"/>
        <w:keepNext w:val="0"/>
        <w:pageBreakBefore w:val="0"/>
        <w:spacing w:before="240" w:after="120" w:line="440" w:lineRule="exact"/>
        <w:widowControl w:val="off"/>
        <w:rPr>
          <w:rFonts w:hint="eastAsia" w:ascii="宋体" w:hAnsi="宋体" w:eastAsia="宋体" w:cs="Times New Roman"/>
          <w:b/>
          <w:bCs/>
          <w:i/>
          <w:iCs w:val="0"/>
          <w:color w:val="auto"/>
          <w:sz w:val="24"/>
          <w:szCs w:val="24"/>
          <w:highlight w:val="none"/>
          <w:u w:val="single"/>
        </w:rPr>
      </w:pPr>
      <w:r>
        <w:rPr>
          <w:rFonts w:hint="eastAsia" w:ascii="宋体" w:hAnsi="宋体" w:eastAsia="宋体" w:cs="Times New Roman"/>
          <w:b/>
          <w:bCs/>
          <w:i/>
          <w:iCs w:val="0"/>
          <w:color w:val="auto"/>
          <w:sz w:val="24"/>
          <w:szCs w:val="24"/>
          <w:highlight w:val="none"/>
          <w:u w:val="single"/>
          <w:lang w:val="en-US" w:eastAsia="zh-CN"/>
        </w:rPr>
        <w:t xml:space="preserve">2.</w:t>
      </w:r>
      <w:r>
        <w:rPr>
          <w:rFonts w:hint="eastAsia" w:ascii="宋体" w:hAnsi="宋体" w:eastAsia="宋体" w:cs="Times New Roman"/>
          <w:b/>
          <w:bCs/>
          <w:i/>
          <w:iCs w:val="0"/>
          <w:color w:val="auto"/>
          <w:sz w:val="24"/>
          <w:szCs w:val="24"/>
          <w:highlight w:val="none"/>
          <w:u w:val="single"/>
        </w:rPr>
        <w:t xml:space="preserve">商务部分实质性要求</w:t>
      </w:r>
      <w:r>
        <w:rPr>
          <w:rFonts w:hint="eastAsia" w:ascii="宋体" w:hAnsi="宋体" w:cs="Times New Roman"/>
          <w:b/>
          <w:bCs/>
          <w:i/>
          <w:iCs w:val="0"/>
          <w:color w:val="auto"/>
          <w:sz w:val="24"/>
          <w:szCs w:val="24"/>
          <w:highlight w:val="none"/>
          <w:u w:val="single"/>
          <w:lang w:eastAsia="zh-CN"/>
        </w:rPr>
        <w:t xml:space="preserve">（</w:t>
      </w:r>
      <w:r>
        <w:rPr>
          <w:rFonts w:hint="eastAsia" w:ascii="宋体" w:hAnsi="宋体"/>
          <w:b/>
          <w:bCs/>
          <w:i/>
          <w:iCs w:val="0"/>
          <w:color w:val="auto"/>
          <w:sz w:val="24"/>
          <w:szCs w:val="24"/>
          <w:highlight w:val="none"/>
          <w:u w:val="single"/>
          <w:lang w:val="en-US" w:eastAsia="zh-CN"/>
        </w:rPr>
        <w:t xml:space="preserve">佐证材料须在《商务要求响应及偏离表》下方列明</w:t>
      </w:r>
      <w:r>
        <w:rPr>
          <w:rFonts w:hint="eastAsia" w:ascii="宋体" w:hAnsi="宋体"/>
          <w:b/>
          <w:bCs/>
          <w:i/>
          <w:iCs w:val="0"/>
          <w:color w:val="auto"/>
          <w:sz w:val="24"/>
          <w:szCs w:val="24"/>
          <w:highlight w:val="none"/>
          <w:u w:val="single"/>
          <w:lang w:eastAsia="zh-CN"/>
        </w:rPr>
        <w:t xml:space="preserve">）</w:t>
      </w:r>
      <w:r>
        <w:rPr>
          <w:highlight w:val="none"/>
        </w:rPr>
      </w:r>
      <w:r/>
    </w:p>
    <w:p>
      <w:pPr>
        <w:pStyle w:val="876"/>
        <w:ind w:left="0" w:firstLine="0"/>
        <w:keepLines w:val="0"/>
        <w:keepNext w:val="0"/>
        <w:pageBreakBefore w:val="0"/>
        <w:spacing w:line="440" w:lineRule="exact"/>
        <w:widowControl w:val="off"/>
        <w:rPr>
          <w:rFonts w:hint="eastAsia" w:ascii="宋体" w:hAnsi="宋体" w:eastAsia="宋体" w:cs="宋体"/>
          <w:b w:val="0"/>
          <w:bCs/>
          <w:i/>
          <w:iCs w:val="0"/>
          <w:color w:val="auto"/>
          <w:sz w:val="24"/>
          <w:szCs w:val="24"/>
          <w:highlight w:val="none"/>
          <w:u w:val="single"/>
          <w:vertAlign w:val="baseline"/>
        </w:rPr>
      </w:pPr>
      <w:r>
        <w:rPr>
          <w:rFonts w:hint="eastAsia" w:ascii="宋体" w:hAnsi="宋体" w:eastAsia="宋体" w:cs="宋体"/>
          <w:b w:val="0"/>
          <w:bCs/>
          <w:i/>
          <w:iCs w:val="0"/>
          <w:color w:val="auto"/>
          <w:sz w:val="24"/>
          <w:szCs w:val="24"/>
          <w:highlight w:val="none"/>
          <w:u w:val="single"/>
          <w:vertAlign w:val="baseline"/>
          <w:lang w:val="en-US" w:eastAsia="zh-CN"/>
        </w:rPr>
        <w:t xml:space="preserve">2.1工期承诺（请做出书面承诺，格式自拟）：为保证该项目如期完成，供应商需承诺供货及安装完工日期满足询价文件要求（即：合同签订后25日历天内送到指定地点并完成安装调试工作，具体以采购人通知为准）。</w:t>
      </w:r>
      <w:r>
        <w:rPr>
          <w:highlight w:val="none"/>
        </w:rPr>
      </w:r>
      <w:r/>
    </w:p>
    <w:p>
      <w:pPr>
        <w:ind w:firstLine="480"/>
        <w:keepLines w:val="0"/>
        <w:keepNext w:val="0"/>
        <w:pageBreakBefore w:val="0"/>
        <w:spacing w:line="360" w:lineRule="auto"/>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highlight w:val="none"/>
        </w:rPr>
      </w:r>
      <w:r/>
    </w:p>
    <w:p>
      <w:pPr>
        <w:numPr>
          <w:ilvl w:val="0"/>
          <w:numId w:val="0"/>
        </w:numPr>
        <w:spacing w:line="52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lang w:val="en-US" w:eastAsia="zh-CN"/>
        </w:rPr>
      </w:r>
      <w:r>
        <w:rPr>
          <w:highlight w:val="none"/>
        </w:rPr>
      </w:r>
      <w:r/>
    </w:p>
    <w:p>
      <w:pPr>
        <w:pStyle w:val="837"/>
        <w:rPr>
          <w:rFonts w:hint="default"/>
          <w:highlight w:val="none"/>
        </w:rPr>
      </w:pPr>
      <w:r>
        <w:rPr>
          <w:rFonts w:hint="default"/>
          <w:highlight w:val="none"/>
          <w:lang w:val="en-US" w:eastAsia="zh-CN"/>
        </w:rPr>
      </w:r>
      <w:r>
        <w:rPr>
          <w:highlight w:val="none"/>
        </w:rPr>
      </w:r>
      <w:r/>
    </w:p>
    <w:p>
      <w:pPr>
        <w:pStyle w:val="837"/>
        <w:rPr>
          <w:rFonts w:hint="eastAsia"/>
          <w:highlight w:val="none"/>
        </w:rPr>
      </w:pPr>
      <w:r>
        <w:rPr>
          <w:rFonts w:hint="eastAsia"/>
          <w:highlight w:val="none"/>
        </w:rPr>
      </w:r>
      <w:r>
        <w:rPr>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rPr>
          <w:highlight w:val="none"/>
        </w:rPr>
      </w:r>
      <w:r/>
    </w:p>
    <w:p>
      <w:pPr>
        <w:pStyle w:val="652"/>
        <w:ind w:firstLine="0"/>
        <w:jc w:val="center"/>
        <w:rPr>
          <w:rFonts w:hint="eastAsia" w:ascii="黑体" w:hAnsi="黑体" w:eastAsia="黑体" w:cs="黑体"/>
          <w:color w:val="000000"/>
          <w:sz w:val="44"/>
          <w:highlight w:val="none"/>
        </w:rPr>
        <w:outlineLvl w:val="0"/>
      </w:pPr>
      <w:r>
        <w:rPr>
          <w:highlight w:val="none"/>
        </w:r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Pr>
          <w:highlight w:val="none"/>
        </w:rPr>
      </w:r>
      <w:r/>
    </w:p>
    <w:p>
      <w:pPr>
        <w:pStyle w:val="652"/>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r>
      <w:r>
        <w:rPr>
          <w:highlight w:val="none"/>
        </w:rPr>
      </w:r>
      <w:r/>
    </w:p>
    <w:p>
      <w:pPr>
        <w:pStyle w:val="652"/>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r>
      <w:r>
        <w:rPr>
          <w:highlight w:val="none"/>
        </w:rPr>
      </w:r>
      <w:r/>
    </w:p>
    <w:p>
      <w:pPr>
        <w:pStyle w:val="652"/>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7"/>
        <w:rPr>
          <w:highlight w:val="none"/>
        </w:rPr>
      </w:pPr>
      <w:r>
        <w:rPr>
          <w:highlight w:val="none"/>
        </w:rPr>
      </w:r>
      <w:r>
        <w:rPr>
          <w:highlight w:val="none"/>
        </w:rPr>
      </w:r>
      <w:r/>
    </w:p>
    <w:p>
      <w:pPr>
        <w:pStyle w:val="836"/>
        <w:ind w:left="0"/>
        <w:jc w:val="center"/>
        <w:spacing w:after="0" w:line="400" w:lineRule="exact"/>
        <w:rPr>
          <w:rFonts w:ascii="宋体" w:hAnsi="宋体"/>
          <w:szCs w:val="21"/>
          <w:highlight w:val="none"/>
        </w:rPr>
      </w:pPr>
      <w:r>
        <w:rPr>
          <w:rFonts w:ascii="宋体" w:hAnsi="宋体"/>
          <w:szCs w:val="21"/>
          <w:highlight w:val="none"/>
        </w:rPr>
      </w:r>
      <w:r>
        <w:rPr>
          <w:highlight w:val="none"/>
        </w:rPr>
      </w:r>
      <w:r/>
    </w:p>
    <w:p>
      <w:pPr>
        <w:pStyle w:val="836"/>
        <w:ind w:left="0"/>
        <w:jc w:val="center"/>
        <w:spacing w:after="0" w:line="400" w:lineRule="exact"/>
        <w:rPr>
          <w:rFonts w:hint="eastAsia" w:ascii="宋体" w:hAnsi="宋体"/>
          <w:szCs w:val="21"/>
          <w:highlight w:val="none"/>
        </w:rPr>
      </w:pPr>
      <w:r>
        <w:rPr>
          <w:rFonts w:hint="eastAsia" w:ascii="宋体" w:hAnsi="宋体"/>
          <w:szCs w:val="21"/>
          <w:highlight w:val="none"/>
        </w:rPr>
      </w:r>
      <w:r>
        <w:rPr>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highlight w:val="none"/>
        </w:rPr>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rPr>
          <w:highlight w:val="none"/>
        </w:rPr>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rPr>
          <w:highlight w:val="none"/>
        </w:rPr>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rPr>
          <w:highlight w:val="none"/>
        </w:rPr>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bookmarkStart w:id="14" w:name="_GoBack"/>
      <w:r>
        <w:rPr>
          <w:highlight w:val="none"/>
        </w:rPr>
      </w:r>
      <w:bookmarkEnd w:id="14"/>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highlight w:val="none"/>
        </w:rPr>
      </w:r>
      <w:r/>
    </w:p>
    <w:p>
      <w:pPr>
        <w:pStyle w:val="652"/>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14:textFill>
            <w14:solidFill>
              <w14:schemeClr w14:val="tx1"/>
            </w14:solidFill>
          </w14:textFill>
        </w:rPr>
        <w:t xml:space="preserve">投标人必须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b/>
          <w:bCs/>
          <w:color w:val="000000" w:themeColor="text1"/>
          <w:sz w:val="28"/>
          <w:szCs w:val="28"/>
          <w:highlight w:val="none"/>
          <w14:textFill>
            <w14:solidFill>
              <w14:schemeClr w14:val="tx1"/>
            </w14:solidFill>
          </w14:textFill>
        </w:rPr>
        <w:t xml:space="preserve">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rPr>
          <w:highlight w:val="none"/>
        </w:rPr>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rPr>
          <w:highlight w:val="none"/>
        </w:rPr>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rPr>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rPr>
          <w:highlight w:val="none"/>
        </w:rPr>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r/>
          </w:p>
        </w:tc>
        <w:tc>
          <w:tcPr>
            <w:tcW w:w="2447"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rPr>
                <w:highlight w:val="none"/>
              </w:rPr>
            </w:r>
            <w:r/>
          </w:p>
        </w:tc>
        <w:tc>
          <w:tcPr>
            <w:tcW w:w="2126"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总价（小写）</w:t>
            </w:r>
            <w:r>
              <w:rPr>
                <w:highlight w:val="none"/>
              </w:rPr>
            </w:r>
            <w:r/>
          </w:p>
        </w:tc>
        <w:tc>
          <w:tcPr>
            <w:tcW w:w="1754"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备注</w:t>
            </w:r>
            <w:r>
              <w:rPr>
                <w:highlight w:val="none"/>
              </w:rPr>
            </w:r>
            <w:r/>
          </w:p>
        </w:tc>
      </w:tr>
      <w:tr>
        <w:trPr>
          <w:jc w:val="center"/>
          <w:trHeight w:val="850"/>
        </w:trPr>
        <w:tc>
          <w:tcPr>
            <w:tcW w:w="2231"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highlight w:val="none"/>
              </w:rPr>
            </w:r>
            <w:r/>
          </w:p>
        </w:tc>
        <w:tc>
          <w:tcPr>
            <w:tcW w:w="2447" w:type="dxa"/>
            <w:vAlign w:val="center"/>
            <w:textDirection w:val="lrTb"/>
            <w:noWrap w:val="false"/>
          </w:tcPr>
          <w:p>
            <w:pPr>
              <w:pStyle w:val="836"/>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rPr>
                <w:highlight w:val="none"/>
              </w:rPr>
            </w:r>
            <w:r/>
          </w:p>
        </w:tc>
        <w:tc>
          <w:tcPr>
            <w:tcW w:w="2126"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r>
            <w:r>
              <w:rPr>
                <w:highlight w:val="none"/>
              </w:rPr>
            </w:r>
            <w:r/>
          </w:p>
        </w:tc>
        <w:tc>
          <w:tcPr>
            <w:tcW w:w="1754" w:type="dxa"/>
            <w:vAlign w:val="center"/>
            <w:textDirection w:val="lrTb"/>
            <w:noWrap w:val="false"/>
          </w:tcPr>
          <w:p>
            <w:pPr>
              <w:pStyle w:val="836"/>
              <w:ind w:left="0"/>
              <w:jc w:val="center"/>
              <w:spacing w:after="0"/>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850"/>
        </w:trPr>
        <w:tc>
          <w:tcPr>
            <w:gridSpan w:val="4"/>
            <w:tcW w:w="8558" w:type="dxa"/>
            <w:vAlign w:val="center"/>
            <w:textDirection w:val="lrTb"/>
            <w:noWrap w:val="false"/>
          </w:tcPr>
          <w:p>
            <w:pPr>
              <w:pStyle w:val="836"/>
              <w:ind w:left="0"/>
              <w:spacing w:after="0"/>
              <w:rPr>
                <w:rFonts w:hint="eastAsia" w:ascii="宋体" w:hAnsi="宋体"/>
                <w:szCs w:val="21"/>
                <w:highlight w:val="none"/>
              </w:rPr>
            </w:pPr>
            <w:r>
              <w:rPr>
                <w:rFonts w:hint="eastAsia" w:ascii="宋体" w:hAnsi="宋体"/>
                <w:szCs w:val="21"/>
                <w:highlight w:val="none"/>
              </w:rPr>
              <w:t xml:space="preserve">总价（大写）：金额大写</w:t>
            </w:r>
            <w:r>
              <w:rPr>
                <w:highlight w:val="none"/>
              </w:rPr>
            </w:r>
            <w:r/>
          </w:p>
        </w:tc>
      </w:tr>
    </w:tbl>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rPr>
          <w:highlight w:val="none"/>
        </w:rPr>
      </w:r>
      <w:r/>
    </w:p>
    <w:p>
      <w:pPr>
        <w:pStyle w:val="836"/>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rPr>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rPr>
          <w:highlight w:val="none"/>
        </w:rPr>
      </w:r>
      <w:r/>
    </w:p>
    <w:tbl>
      <w:tblPr>
        <w:tblStyle w:val="65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rPr>
                <w:highlight w:val="none"/>
              </w:rPr>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rPr>
                <w:highlight w:val="none"/>
              </w:rPr>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rPr>
          <w:highlight w:val="none"/>
        </w:rPr>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rPr>
          <w:highlight w:val="none"/>
        </w:rPr>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rPr>
          <w:highlight w:val="none"/>
        </w:rPr>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spacing w:line="48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rPr>
          <w:highlight w:val="none"/>
        </w:rPr>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rPr>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rPr>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rPr>
          <w:highlight w:val="none"/>
        </w:rPr>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rPr>
          <w:highlight w:val="none"/>
        </w:rPr>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rPr>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rPr>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rPr>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pStyle w:val="876"/>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r/>
    </w:p>
    <w:p>
      <w:pPr>
        <w:pStyle w:val="876"/>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876"/>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r/>
    </w:p>
    <w:p>
      <w:pPr>
        <w:pStyle w:val="876"/>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highlight w:val="none"/>
        </w:rPr>
      </w:r>
      <w:r/>
    </w:p>
    <w:p>
      <w:pPr>
        <w:pStyle w:val="83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highlight w:val="none"/>
        </w:rPr>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rPr>
          <w:highlight w:val="none"/>
        </w:rPr>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rPr>
          <w:highlight w:val="none"/>
        </w:rPr>
      </w:r>
      <w:r/>
    </w:p>
    <w:p>
      <w:pPr>
        <w:pStyle w:val="836"/>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highlight w:val="none"/>
        </w:rPr>
      </w:r>
      <w:r/>
    </w:p>
    <w:tbl>
      <w:tblPr>
        <w:tblStyle w:val="65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rPr>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r/>
          </w:p>
        </w:tc>
      </w:tr>
    </w:tbl>
    <w:p>
      <w:pPr>
        <w:spacing w:line="480" w:lineRule="exact"/>
      </w:pPr>
      <w:r>
        <w:rPr>
          <w:rFonts w:hint="eastAsia" w:ascii="宋体" w:hAnsi="宋体" w:cs="仿宋"/>
          <w:sz w:val="24"/>
          <w:szCs w:val="24"/>
          <w:highlight w:val="none"/>
        </w:rPr>
        <w:t xml:space="preserve">下附</w:t>
      </w:r>
      <w:r>
        <w:rPr>
          <w:rFonts w:hint="eastAsia" w:ascii="宋体" w:hAnsi="宋体" w:cs="仿宋"/>
          <w:sz w:val="24"/>
          <w:szCs w:val="24"/>
          <w:highlight w:val="none"/>
        </w:rPr>
      </w:r>
      <w:r/>
    </w:p>
    <w:p>
      <w:pPr>
        <w:spacing w:line="480" w:lineRule="exact"/>
        <w:rPr>
          <w:rFonts w:hint="eastAsia" w:ascii="宋体" w:hAnsi="宋体" w:cs="仿宋"/>
          <w:highlight w:val="none"/>
        </w:rPr>
      </w:pPr>
      <w:r>
        <w:rPr>
          <w:rFonts w:hint="eastAsia" w:ascii="宋体" w:hAnsi="宋体" w:cs="仿宋"/>
          <w:sz w:val="24"/>
          <w:szCs w:val="24"/>
          <w:highlight w:val="none"/>
        </w:rPr>
      </w:r>
      <w:r>
        <w:rPr>
          <w:rFonts w:hint="eastAsia" w:ascii="宋体" w:hAnsi="宋体" w:cs="仿宋"/>
          <w:sz w:val="24"/>
          <w:szCs w:val="24"/>
          <w:highlight w:val="none"/>
        </w:rPr>
        <w:t xml:space="preserve">佐证材料</w:t>
      </w:r>
      <w:r>
        <w:rPr>
          <w:rFonts w:hint="eastAsia" w:ascii="宋体" w:hAnsi="宋体" w:cs="仿宋"/>
          <w:sz w:val="24"/>
          <w:szCs w:val="24"/>
          <w:highlight w:val="none"/>
        </w:rPr>
        <w:t xml:space="preserve">1，</w:t>
      </w:r>
      <w:r>
        <w:rPr>
          <w:rFonts w:hint="eastAsia" w:ascii="宋体" w:hAnsi="宋体" w:cs="仿宋"/>
          <w:sz w:val="24"/>
          <w:szCs w:val="24"/>
          <w:highlight w:val="none"/>
        </w:rPr>
        <w:t xml:space="preserve">佐证</w:t>
      </w:r>
      <w:r>
        <w:rPr>
          <w:rFonts w:hint="eastAsia" w:ascii="宋体" w:hAnsi="宋体" w:cs="仿宋"/>
          <w:sz w:val="24"/>
          <w:szCs w:val="24"/>
          <w:highlight w:val="none"/>
        </w:rPr>
        <w:t xml:space="preserve">材料2，……</w:t>
      </w:r>
      <w:r>
        <w:rPr>
          <w:rFonts w:hint="eastAsia" w:ascii="宋体" w:hAnsi="宋体" w:cs="仿宋"/>
          <w:sz w:val="24"/>
          <w:szCs w:val="24"/>
          <w:highlight w:val="none"/>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b/>
          <w:bCs/>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rPr>
          <w:b/>
          <w:bCs/>
        </w:rPr>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材料列于该表之下。</w:t>
      </w:r>
      <w:r>
        <w:rPr>
          <w:highlight w:val="none"/>
        </w:rPr>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rPr>
          <w:highlight w:val="none"/>
        </w:rPr>
      </w:r>
      <w:r/>
    </w:p>
    <w:p>
      <w:pPr>
        <w:pStyle w:val="83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highlight w:val="none"/>
        </w:rPr>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rPr>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rPr>
          <w:rFonts w:hint="eastAsia" w:ascii="宋体" w:hAnsi="宋体" w:cs="仿宋"/>
          <w:sz w:val="24"/>
          <w:szCs w:val="24"/>
          <w:highlight w:val="none"/>
        </w:rPr>
      </w:r>
      <w:r/>
    </w:p>
    <w:p>
      <w:pPr>
        <w:spacing w:line="480" w:lineRule="exact"/>
        <w:rPr>
          <w:rFonts w:hint="eastAsia" w:ascii="宋体" w:hAnsi="宋体" w:cs="仿宋"/>
          <w:highlight w:val="none"/>
        </w:rPr>
      </w:pPr>
      <w:r>
        <w:rPr>
          <w:rFonts w:hint="eastAsia" w:ascii="宋体" w:hAnsi="宋体" w:cs="仿宋"/>
          <w:sz w:val="24"/>
          <w:szCs w:val="24"/>
          <w:highlight w:val="none"/>
        </w:rPr>
      </w:r>
      <w:r>
        <w:rPr>
          <w:rFonts w:hint="eastAsia" w:ascii="宋体" w:hAnsi="宋体" w:cs="仿宋"/>
          <w:sz w:val="24"/>
          <w:szCs w:val="24"/>
          <w:highlight w:val="none"/>
        </w:rPr>
        <w:t xml:space="preserve">佐证材料</w:t>
      </w:r>
      <w:r>
        <w:rPr>
          <w:rFonts w:hint="eastAsia" w:ascii="宋体" w:hAnsi="宋体" w:cs="仿宋"/>
          <w:sz w:val="24"/>
          <w:szCs w:val="24"/>
          <w:highlight w:val="none"/>
        </w:rPr>
        <w:t xml:space="preserve">1，</w:t>
      </w:r>
      <w:r>
        <w:rPr>
          <w:rFonts w:hint="eastAsia" w:ascii="宋体" w:hAnsi="宋体" w:cs="仿宋"/>
          <w:sz w:val="24"/>
          <w:szCs w:val="24"/>
          <w:highlight w:val="none"/>
        </w:rPr>
        <w:t xml:space="preserve">佐证</w:t>
      </w:r>
      <w:r>
        <w:rPr>
          <w:rFonts w:hint="eastAsia" w:ascii="宋体" w:hAnsi="宋体" w:cs="仿宋"/>
          <w:sz w:val="24"/>
          <w:szCs w:val="24"/>
          <w:highlight w:val="none"/>
        </w:rPr>
        <w:t xml:space="preserve">材料2，……</w:t>
      </w:r>
      <w:r>
        <w:rPr>
          <w:rFonts w:hint="eastAsia" w:ascii="宋体" w:hAnsi="宋体" w:cs="仿宋"/>
          <w:sz w:val="24"/>
          <w:szCs w:val="24"/>
          <w:highlight w:val="none"/>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b/>
          <w:bCs/>
        </w:rPr>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rPr>
          <w:b/>
          <w:bCs/>
        </w:rPr>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w:t>
      </w:r>
      <w:r>
        <w:rPr>
          <w:rFonts w:hint="eastAsia" w:ascii="宋体" w:hAnsi="宋体" w:cs="仿宋"/>
          <w:b/>
          <w:bCs/>
          <w:sz w:val="24"/>
          <w:szCs w:val="24"/>
          <w:highlight w:val="none"/>
        </w:rPr>
        <w:t xml:space="preserve">佐证</w:t>
      </w:r>
      <w:r>
        <w:rPr>
          <w:rFonts w:hint="eastAsia" w:ascii="宋体" w:hAnsi="宋体" w:cs="仿宋"/>
          <w:b/>
          <w:bCs/>
          <w:sz w:val="24"/>
          <w:szCs w:val="24"/>
          <w:highlight w:val="none"/>
        </w:rPr>
        <w:t xml:space="preserve">材料列于该表之下。</w:t>
      </w:r>
      <w:r>
        <w:rPr>
          <w:highlight w:val="none"/>
        </w:rPr>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rPr>
          <w:highlight w:val="none"/>
        </w:rPr>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rPr>
          <w:highlight w:val="none"/>
        </w:rPr>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rPr>
          <w:highlight w:val="none"/>
        </w:rPr>
      </w:r>
      <w:r/>
    </w:p>
    <w:p>
      <w:pPr>
        <w:pStyle w:val="67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r/>
    </w:p>
    <w:p>
      <w:pPr>
        <w:pStyle w:val="67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r/>
    </w:p>
    <w:p>
      <w:pPr>
        <w:pStyle w:val="67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r/>
    </w:p>
    <w:p>
      <w:pPr>
        <w:pStyle w:val="67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pStyle w:val="848"/>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rPr>
          <w:highlight w:val="none"/>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rPr>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rPr>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link w:val="870"/>
    <w:uiPriority w:val="0"/>
    <w:qFormat/>
    <w:pPr>
      <w:jc w:val="both"/>
      <w:widowControl w:val="off"/>
    </w:pPr>
    <w:rPr>
      <w:rFonts w:hint="default" w:ascii="Times New Roman" w:hAnsi="Times New Roman" w:eastAsia="宋体" w:cs="Times New Roman"/>
      <w:sz w:val="21"/>
      <w:lang w:val="en-US" w:eastAsia="zh-CN" w:bidi="ar-SA"/>
    </w:rPr>
  </w:style>
  <w:style w:type="paragraph" w:styleId="641">
    <w:name w:val="Heading 1"/>
    <w:basedOn w:val="640"/>
    <w:next w:val="640"/>
    <w:link w:val="678"/>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9"/>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0"/>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81"/>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2"/>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3"/>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5"/>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6"/>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正文首行缩进 21"/>
    <w:basedOn w:val="653"/>
    <w:uiPriority w:val="0"/>
    <w:qFormat/>
    <w:pPr>
      <w:ind w:left="0" w:firstLine="420"/>
      <w:spacing w:after="0" w:line="360" w:lineRule="auto"/>
    </w:pPr>
    <w:rPr>
      <w:rFonts w:ascii="宋体" w:hAnsi="宋体"/>
      <w:sz w:val="20"/>
      <w:szCs w:val="20"/>
      <w:lang w:val="en-US" w:eastAsia="en-US"/>
    </w:rPr>
  </w:style>
  <w:style w:type="paragraph" w:styleId="653" w:customStyle="1">
    <w:name w:val="正文文本缩进1"/>
    <w:basedOn w:val="640"/>
    <w:next w:val="652"/>
    <w:uiPriority w:val="0"/>
    <w:unhideWhenUsed/>
    <w:qFormat/>
    <w:pPr>
      <w:ind w:left="420"/>
      <w:spacing w:after="120"/>
    </w:pPr>
  </w:style>
  <w:style w:type="paragraph" w:styleId="654">
    <w:name w:val="toc 7"/>
    <w:basedOn w:val="640"/>
    <w:next w:val="640"/>
    <w:uiPriority w:val="39"/>
    <w:unhideWhenUsed/>
    <w:qFormat/>
    <w:pPr>
      <w:ind w:left="1701" w:right="0" w:firstLine="0"/>
      <w:spacing w:after="57"/>
    </w:pPr>
  </w:style>
  <w:style w:type="paragraph" w:styleId="655">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toc 5"/>
    <w:basedOn w:val="640"/>
    <w:next w:val="640"/>
    <w:uiPriority w:val="39"/>
    <w:unhideWhenUsed/>
    <w:qFormat/>
    <w:pPr>
      <w:ind w:left="1134" w:right="0" w:firstLine="0"/>
      <w:spacing w:after="57"/>
    </w:pPr>
  </w:style>
  <w:style w:type="paragraph" w:styleId="657">
    <w:name w:val="toc 3"/>
    <w:basedOn w:val="640"/>
    <w:next w:val="640"/>
    <w:uiPriority w:val="39"/>
    <w:unhideWhenUsed/>
    <w:qFormat/>
    <w:pPr>
      <w:ind w:left="567" w:right="0" w:firstLine="0"/>
      <w:spacing w:after="57"/>
    </w:pPr>
  </w:style>
  <w:style w:type="paragraph" w:styleId="658">
    <w:name w:val="toc 8"/>
    <w:basedOn w:val="640"/>
    <w:next w:val="640"/>
    <w:uiPriority w:val="39"/>
    <w:unhideWhenUsed/>
    <w:qFormat/>
    <w:pPr>
      <w:ind w:left="1984" w:right="0" w:firstLine="0"/>
      <w:spacing w:after="57"/>
    </w:pPr>
  </w:style>
  <w:style w:type="paragraph" w:styleId="659">
    <w:name w:val="endnote text"/>
    <w:basedOn w:val="640"/>
    <w:link w:val="824"/>
    <w:uiPriority w:val="99"/>
    <w:semiHidden/>
    <w:unhideWhenUsed/>
    <w:qFormat/>
    <w:pPr>
      <w:spacing w:after="0" w:line="240" w:lineRule="auto"/>
    </w:pPr>
    <w:rPr>
      <w:sz w:val="20"/>
    </w:rPr>
  </w:style>
  <w:style w:type="paragraph" w:styleId="660">
    <w:name w:val="Footer"/>
    <w:basedOn w:val="640"/>
    <w:link w:val="697"/>
    <w:uiPriority w:val="99"/>
    <w:unhideWhenUsed/>
    <w:qFormat/>
    <w:pPr>
      <w:spacing w:after="0" w:line="240" w:lineRule="auto"/>
      <w:tabs>
        <w:tab w:val="center" w:pos="7143" w:leader="none"/>
        <w:tab w:val="right" w:pos="14287" w:leader="none"/>
      </w:tabs>
    </w:pPr>
  </w:style>
  <w:style w:type="paragraph" w:styleId="661">
    <w:name w:val="Header"/>
    <w:basedOn w:val="640"/>
    <w:link w:val="695"/>
    <w:uiPriority w:val="99"/>
    <w:unhideWhenUsed/>
    <w:qFormat/>
    <w:pPr>
      <w:spacing w:after="0" w:line="240" w:lineRule="auto"/>
      <w:tabs>
        <w:tab w:val="center" w:pos="7143" w:leader="none"/>
        <w:tab w:val="right" w:pos="14287" w:leader="none"/>
      </w:tabs>
    </w:pPr>
  </w:style>
  <w:style w:type="paragraph" w:styleId="662">
    <w:name w:val="toc 1"/>
    <w:basedOn w:val="640"/>
    <w:next w:val="640"/>
    <w:uiPriority w:val="39"/>
    <w:unhideWhenUsed/>
    <w:qFormat/>
    <w:pPr>
      <w:ind w:left="0" w:right="0" w:firstLine="0"/>
      <w:spacing w:after="57"/>
    </w:pPr>
  </w:style>
  <w:style w:type="paragraph" w:styleId="663">
    <w:name w:val="toc 4"/>
    <w:basedOn w:val="640"/>
    <w:next w:val="640"/>
    <w:uiPriority w:val="39"/>
    <w:unhideWhenUsed/>
    <w:qFormat/>
    <w:pPr>
      <w:ind w:left="850" w:right="0" w:firstLine="0"/>
      <w:spacing w:after="57"/>
    </w:pPr>
  </w:style>
  <w:style w:type="paragraph" w:styleId="664">
    <w:name w:val="Subtitle"/>
    <w:basedOn w:val="640"/>
    <w:next w:val="640"/>
    <w:link w:val="690"/>
    <w:uiPriority w:val="11"/>
    <w:qFormat/>
    <w:pPr>
      <w:spacing w:before="200" w:after="200"/>
    </w:pPr>
    <w:rPr>
      <w:sz w:val="24"/>
      <w:szCs w:val="24"/>
    </w:rPr>
  </w:style>
  <w:style w:type="paragraph" w:styleId="665">
    <w:name w:val="footnote text"/>
    <w:basedOn w:val="640"/>
    <w:link w:val="823"/>
    <w:uiPriority w:val="99"/>
    <w:semiHidden/>
    <w:unhideWhenUsed/>
    <w:qFormat/>
    <w:pPr>
      <w:spacing w:after="40" w:line="240" w:lineRule="auto"/>
    </w:pPr>
    <w:rPr>
      <w:sz w:val="18"/>
    </w:rPr>
  </w:style>
  <w:style w:type="paragraph" w:styleId="666">
    <w:name w:val="toc 6"/>
    <w:basedOn w:val="640"/>
    <w:next w:val="640"/>
    <w:uiPriority w:val="39"/>
    <w:unhideWhenUsed/>
    <w:qFormat/>
    <w:pPr>
      <w:ind w:left="1417" w:right="0" w:firstLine="0"/>
      <w:spacing w:after="57"/>
    </w:pPr>
  </w:style>
  <w:style w:type="paragraph" w:styleId="667">
    <w:name w:val="table of figures"/>
    <w:basedOn w:val="640"/>
    <w:next w:val="640"/>
    <w:uiPriority w:val="99"/>
    <w:unhideWhenUsed/>
    <w:qFormat/>
    <w:pPr>
      <w:spacing w:after="0" w:afterAutospacing="0"/>
    </w:pPr>
  </w:style>
  <w:style w:type="paragraph" w:styleId="668">
    <w:name w:val="toc 2"/>
    <w:basedOn w:val="640"/>
    <w:next w:val="640"/>
    <w:uiPriority w:val="39"/>
    <w:unhideWhenUsed/>
    <w:qFormat/>
    <w:pPr>
      <w:ind w:left="283" w:right="0" w:firstLine="0"/>
      <w:spacing w:after="57"/>
    </w:pPr>
  </w:style>
  <w:style w:type="paragraph" w:styleId="669">
    <w:name w:val="toc 9"/>
    <w:basedOn w:val="640"/>
    <w:next w:val="640"/>
    <w:uiPriority w:val="39"/>
    <w:unhideWhenUsed/>
    <w:qFormat/>
    <w:pPr>
      <w:ind w:left="2268" w:right="0" w:firstLine="0"/>
      <w:spacing w:after="57"/>
    </w:pPr>
  </w:style>
  <w:style w:type="paragraph" w:styleId="670">
    <w:name w:val="Normal (Web)"/>
    <w:basedOn w:val="640"/>
    <w:uiPriority w:val="0"/>
    <w:qFormat/>
    <w:pPr>
      <w:jc w:val="left"/>
      <w:spacing w:beforeAutospacing="1" w:afterAutospacing="1"/>
    </w:pPr>
    <w:rPr>
      <w:sz w:val="24"/>
    </w:rPr>
  </w:style>
  <w:style w:type="paragraph" w:styleId="671">
    <w:name w:val="Title"/>
    <w:basedOn w:val="640"/>
    <w:next w:val="640"/>
    <w:link w:val="689"/>
    <w:uiPriority w:val="10"/>
    <w:qFormat/>
    <w:pPr>
      <w:contextualSpacing/>
      <w:spacing w:before="300" w:after="200"/>
    </w:pPr>
    <w:rPr>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Strong"/>
    <w:basedOn w:val="650"/>
    <w:uiPriority w:val="22"/>
    <w:qFormat/>
    <w:rPr>
      <w:b/>
    </w:rPr>
  </w:style>
  <w:style w:type="character" w:styleId="674">
    <w:name w:val="endnote reference"/>
    <w:uiPriority w:val="99"/>
    <w:semiHidden/>
    <w:unhideWhenUsed/>
    <w:qFormat/>
    <w:rPr>
      <w:vertAlign w:val="superscript"/>
    </w:rPr>
  </w:style>
  <w:style w:type="character" w:styleId="675">
    <w:name w:val="Emphasis"/>
    <w:uiPriority w:val="0"/>
    <w:qFormat/>
    <w:rPr>
      <w:i/>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link w:val="641"/>
    <w:uiPriority w:val="9"/>
    <w:qFormat/>
    <w:rPr>
      <w:rFonts w:ascii="Arial" w:hAnsi="Arial" w:eastAsia="Arial" w:cs="Arial"/>
      <w:sz w:val="40"/>
      <w:szCs w:val="40"/>
    </w:rPr>
  </w:style>
  <w:style w:type="character" w:styleId="679" w:customStyle="1">
    <w:name w:val="Heading 2 Char"/>
    <w:link w:val="642"/>
    <w:uiPriority w:val="9"/>
    <w:qFormat/>
    <w:rPr>
      <w:rFonts w:ascii="Arial" w:hAnsi="Arial" w:eastAsia="Arial" w:cs="Arial"/>
      <w:sz w:val="34"/>
    </w:rPr>
  </w:style>
  <w:style w:type="character" w:styleId="680" w:customStyle="1">
    <w:name w:val="Heading 3 Char"/>
    <w:link w:val="643"/>
    <w:uiPriority w:val="9"/>
    <w:qFormat/>
    <w:rPr>
      <w:rFonts w:ascii="Arial" w:hAnsi="Arial" w:eastAsia="Arial" w:cs="Arial"/>
      <w:sz w:val="30"/>
      <w:szCs w:val="30"/>
    </w:rPr>
  </w:style>
  <w:style w:type="character" w:styleId="681" w:customStyle="1">
    <w:name w:val="Heading 4 Char"/>
    <w:link w:val="644"/>
    <w:uiPriority w:val="9"/>
    <w:qFormat/>
    <w:rPr>
      <w:rFonts w:ascii="Arial" w:hAnsi="Arial" w:eastAsia="Arial" w:cs="Arial"/>
      <w:b/>
      <w:bCs/>
      <w:sz w:val="26"/>
      <w:szCs w:val="26"/>
    </w:rPr>
  </w:style>
  <w:style w:type="character" w:styleId="682" w:customStyle="1">
    <w:name w:val="Heading 5 Char"/>
    <w:link w:val="645"/>
    <w:uiPriority w:val="9"/>
    <w:qFormat/>
    <w:rPr>
      <w:rFonts w:ascii="Arial" w:hAnsi="Arial" w:eastAsia="Arial" w:cs="Arial"/>
      <w:b/>
      <w:bCs/>
      <w:sz w:val="24"/>
      <w:szCs w:val="24"/>
    </w:rPr>
  </w:style>
  <w:style w:type="character" w:styleId="683" w:customStyle="1">
    <w:name w:val="Heading 6 Char"/>
    <w:link w:val="646"/>
    <w:uiPriority w:val="9"/>
    <w:qFormat/>
    <w:rPr>
      <w:rFonts w:ascii="Arial" w:hAnsi="Arial" w:eastAsia="Arial" w:cs="Arial"/>
      <w:b/>
      <w:bCs/>
      <w:sz w:val="22"/>
      <w:szCs w:val="22"/>
    </w:rPr>
  </w:style>
  <w:style w:type="character" w:styleId="684" w:customStyle="1">
    <w:name w:val="Heading 7 Char"/>
    <w:link w:val="647"/>
    <w:uiPriority w:val="9"/>
    <w:qFormat/>
    <w:rPr>
      <w:rFonts w:ascii="Arial" w:hAnsi="Arial" w:eastAsia="Arial" w:cs="Arial"/>
      <w:b/>
      <w:bCs/>
      <w:i/>
      <w:iCs/>
      <w:sz w:val="22"/>
      <w:szCs w:val="22"/>
    </w:rPr>
  </w:style>
  <w:style w:type="character" w:styleId="685" w:customStyle="1">
    <w:name w:val="Heading 8 Char"/>
    <w:link w:val="648"/>
    <w:uiPriority w:val="9"/>
    <w:qFormat/>
    <w:rPr>
      <w:rFonts w:ascii="Arial" w:hAnsi="Arial" w:eastAsia="Arial" w:cs="Arial"/>
      <w:i/>
      <w:iCs/>
      <w:sz w:val="22"/>
      <w:szCs w:val="22"/>
    </w:rPr>
  </w:style>
  <w:style w:type="character" w:styleId="686" w:customStyle="1">
    <w:name w:val="Heading 9 Char"/>
    <w:link w:val="649"/>
    <w:uiPriority w:val="9"/>
    <w:qFormat/>
    <w:rPr>
      <w:rFonts w:ascii="Arial" w:hAnsi="Arial" w:eastAsia="Arial" w:cs="Arial"/>
      <w:i/>
      <w:iCs/>
      <w:sz w:val="21"/>
      <w:szCs w:val="21"/>
    </w:rPr>
  </w:style>
  <w:style w:type="paragraph" w:styleId="687">
    <w:name w:val="List Paragraph"/>
    <w:basedOn w:val="640"/>
    <w:uiPriority w:val="34"/>
    <w:qFormat/>
    <w:pPr>
      <w:contextualSpacing/>
      <w:ind w:left="720"/>
    </w:pPr>
  </w:style>
  <w:style w:type="paragraph" w:styleId="688">
    <w:name w:val="No Spacing"/>
    <w:uiPriority w:val="1"/>
    <w:qFormat/>
    <w:pPr>
      <w:spacing w:before="0" w:after="0" w:line="240" w:lineRule="auto"/>
    </w:pPr>
    <w:rPr>
      <w:rFonts w:hint="default" w:ascii="Times New Roman" w:hAnsi="Times New Roman" w:eastAsia="宋体" w:cs="Times New Roman"/>
    </w:rPr>
  </w:style>
  <w:style w:type="character" w:styleId="689" w:customStyle="1">
    <w:name w:val="Title Char"/>
    <w:link w:val="671"/>
    <w:uiPriority w:val="10"/>
    <w:qFormat/>
    <w:rPr>
      <w:sz w:val="48"/>
      <w:szCs w:val="48"/>
    </w:rPr>
  </w:style>
  <w:style w:type="character" w:styleId="690" w:customStyle="1">
    <w:name w:val="Subtitle Char"/>
    <w:link w:val="664"/>
    <w:uiPriority w:val="11"/>
    <w:qFormat/>
    <w:rPr>
      <w:sz w:val="24"/>
      <w:szCs w:val="24"/>
    </w:rPr>
  </w:style>
  <w:style w:type="paragraph" w:styleId="691">
    <w:name w:val="Quote"/>
    <w:basedOn w:val="640"/>
    <w:next w:val="640"/>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40"/>
    <w:next w:val="640"/>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link w:val="661"/>
    <w:uiPriority w:val="99"/>
    <w:qFormat/>
  </w:style>
  <w:style w:type="character" w:styleId="696" w:customStyle="1">
    <w:name w:val="Footer Char"/>
    <w:link w:val="660"/>
    <w:uiPriority w:val="99"/>
    <w:qFormat/>
  </w:style>
  <w:style w:type="character" w:styleId="697" w:customStyle="1">
    <w:name w:val="Caption Char"/>
    <w:link w:val="660"/>
    <w:uiPriority w:val="99"/>
    <w:qFormat/>
  </w:style>
  <w:style w:type="table" w:styleId="6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3" w:customStyle="1">
    <w:name w:val="Footnote Text Char"/>
    <w:link w:val="665"/>
    <w:uiPriority w:val="99"/>
    <w:qFormat/>
    <w:rPr>
      <w:sz w:val="18"/>
    </w:rPr>
  </w:style>
  <w:style w:type="character" w:styleId="824" w:customStyle="1">
    <w:name w:val="Endnote Text Char"/>
    <w:link w:val="659"/>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标题 11"/>
    <w:basedOn w:val="640"/>
    <w:next w:val="640"/>
    <w:link w:val="832"/>
    <w:uiPriority w:val="0"/>
    <w:qFormat/>
    <w:pPr>
      <w:keepLines/>
      <w:keepNext/>
      <w:spacing w:before="340" w:after="330" w:line="578" w:lineRule="auto"/>
      <w:outlineLvl w:val="0"/>
    </w:pPr>
    <w:rPr>
      <w:b/>
      <w:bCs/>
      <w:sz w:val="44"/>
      <w:szCs w:val="44"/>
    </w:rPr>
  </w:style>
  <w:style w:type="paragraph" w:styleId="827" w:customStyle="1">
    <w:name w:val="标题 21"/>
    <w:basedOn w:val="640"/>
    <w:next w:val="640"/>
    <w:uiPriority w:val="0"/>
    <w:qFormat/>
    <w:pPr>
      <w:keepLines/>
      <w:keepNext/>
      <w:spacing w:line="360" w:lineRule="auto"/>
      <w:outlineLvl w:val="1"/>
    </w:pPr>
    <w:rPr>
      <w:rFonts w:ascii="Arial" w:hAnsi="Arial"/>
      <w:b/>
      <w:bCs/>
      <w:sz w:val="24"/>
      <w:szCs w:val="32"/>
    </w:rPr>
  </w:style>
  <w:style w:type="paragraph" w:styleId="828" w:customStyle="1">
    <w:name w:val="标题 41"/>
    <w:basedOn w:val="640"/>
    <w:next w:val="829"/>
    <w:uiPriority w:val="0"/>
    <w:qFormat/>
    <w:pPr>
      <w:jc w:val="center"/>
      <w:keepNext/>
      <w:outlineLvl w:val="3"/>
    </w:pPr>
    <w:rPr>
      <w:rFonts w:eastAsia="新宋体"/>
      <w:sz w:val="30"/>
      <w:szCs w:val="21"/>
    </w:rPr>
  </w:style>
  <w:style w:type="paragraph" w:styleId="829" w:customStyle="1">
    <w:name w:val="正文缩进11"/>
    <w:basedOn w:val="640"/>
    <w:uiPriority w:val="0"/>
    <w:qFormat/>
    <w:pPr>
      <w:ind w:firstLine="420"/>
    </w:pPr>
  </w:style>
  <w:style w:type="character" w:styleId="830" w:customStyle="1">
    <w:name w:val="默认段落字体1"/>
    <w:link w:val="640"/>
    <w:uiPriority w:val="1"/>
    <w:unhideWhenUsed/>
    <w:qFormat/>
  </w:style>
  <w:style w:type="table" w:styleId="831" w:customStyle="1">
    <w:name w:val="普通表格1"/>
    <w:uiPriority w:val="99"/>
    <w:unhideWhenUsed/>
    <w:qFormat/>
    <w:tblPr/>
  </w:style>
  <w:style w:type="character" w:styleId="832" w:customStyle="1">
    <w:name w:val="标题 1 字符"/>
    <w:link w:val="826"/>
    <w:uiPriority w:val="0"/>
    <w:qFormat/>
    <w:rPr>
      <w:rFonts w:ascii="Times New Roman" w:hAnsi="Times New Roman"/>
      <w:b/>
      <w:bCs/>
      <w:sz w:val="44"/>
      <w:szCs w:val="44"/>
    </w:rPr>
  </w:style>
  <w:style w:type="paragraph" w:styleId="833" w:customStyle="1">
    <w:name w:val="批注文字1"/>
    <w:basedOn w:val="640"/>
    <w:link w:val="834"/>
    <w:uiPriority w:val="0"/>
    <w:qFormat/>
    <w:pPr>
      <w:jc w:val="left"/>
    </w:pPr>
  </w:style>
  <w:style w:type="character" w:styleId="834" w:customStyle="1">
    <w:name w:val="批注文字 字符"/>
    <w:link w:val="833"/>
    <w:uiPriority w:val="0"/>
    <w:qFormat/>
    <w:rPr>
      <w:sz w:val="21"/>
    </w:rPr>
  </w:style>
  <w:style w:type="paragraph" w:styleId="835" w:customStyle="1">
    <w:name w:val="正文文本11"/>
    <w:basedOn w:val="640"/>
    <w:next w:val="640"/>
    <w:uiPriority w:val="0"/>
    <w:qFormat/>
    <w:rPr>
      <w:rFonts w:ascii="仿宋_GB2312" w:eastAsia="仿宋_GB2312"/>
      <w:sz w:val="24"/>
    </w:rPr>
  </w:style>
  <w:style w:type="paragraph" w:styleId="836" w:customStyle="1">
    <w:name w:val="正文文本缩进11"/>
    <w:basedOn w:val="640"/>
    <w:next w:val="837"/>
    <w:link w:val="838"/>
    <w:uiPriority w:val="0"/>
    <w:qFormat/>
    <w:pPr>
      <w:ind w:left="420"/>
      <w:spacing w:after="120"/>
    </w:pPr>
  </w:style>
  <w:style w:type="paragraph" w:styleId="837" w:customStyle="1">
    <w:name w:val="寄信人地址1"/>
    <w:basedOn w:val="640"/>
    <w:uiPriority w:val="0"/>
    <w:qFormat/>
    <w:rPr>
      <w:rFonts w:ascii="Arial" w:hAnsi="Arial"/>
    </w:rPr>
  </w:style>
  <w:style w:type="character" w:styleId="838" w:customStyle="1">
    <w:name w:val="正文文本缩进 字符"/>
    <w:link w:val="836"/>
    <w:uiPriority w:val="0"/>
    <w:qFormat/>
    <w:rPr>
      <w:sz w:val="21"/>
    </w:rPr>
  </w:style>
  <w:style w:type="paragraph" w:styleId="839" w:customStyle="1">
    <w:name w:val="索引 41"/>
    <w:basedOn w:val="640"/>
    <w:next w:val="640"/>
    <w:uiPriority w:val="99"/>
    <w:unhideWhenUsed/>
    <w:qFormat/>
    <w:pPr>
      <w:ind w:left="600"/>
    </w:pPr>
  </w:style>
  <w:style w:type="paragraph" w:styleId="840" w:customStyle="1">
    <w:name w:val="纯文本11"/>
    <w:basedOn w:val="640"/>
    <w:uiPriority w:val="0"/>
    <w:qFormat/>
    <w:rPr>
      <w:rFonts w:ascii="宋体" w:hAnsi="Courier New" w:cs="Courier New"/>
      <w:szCs w:val="21"/>
    </w:rPr>
  </w:style>
  <w:style w:type="paragraph" w:styleId="841" w:customStyle="1">
    <w:name w:val="批注框文本1"/>
    <w:basedOn w:val="640"/>
    <w:link w:val="842"/>
    <w:uiPriority w:val="0"/>
    <w:qFormat/>
    <w:rPr>
      <w:sz w:val="18"/>
      <w:szCs w:val="18"/>
    </w:rPr>
  </w:style>
  <w:style w:type="character" w:styleId="842" w:customStyle="1">
    <w:name w:val="批注框文本 字符"/>
    <w:link w:val="841"/>
    <w:uiPriority w:val="0"/>
    <w:qFormat/>
    <w:rPr>
      <w:sz w:val="18"/>
      <w:szCs w:val="18"/>
    </w:rPr>
  </w:style>
  <w:style w:type="paragraph" w:styleId="843" w:customStyle="1">
    <w:name w:val="页脚11"/>
    <w:basedOn w:val="640"/>
    <w:link w:val="844"/>
    <w:uiPriority w:val="99"/>
    <w:qFormat/>
    <w:pPr>
      <w:jc w:val="left"/>
      <w:tabs>
        <w:tab w:val="center" w:pos="4153" w:leader="none"/>
        <w:tab w:val="right" w:pos="8306" w:leader="none"/>
      </w:tabs>
    </w:pPr>
    <w:rPr>
      <w:sz w:val="18"/>
      <w:szCs w:val="18"/>
    </w:rPr>
  </w:style>
  <w:style w:type="character" w:styleId="844" w:customStyle="1">
    <w:name w:val="页脚 字符"/>
    <w:link w:val="843"/>
    <w:uiPriority w:val="99"/>
    <w:qFormat/>
    <w:rPr>
      <w:rFonts w:ascii="Times New Roman" w:hAnsi="Times New Roman" w:eastAsia="宋体" w:cs="Times New Roman"/>
      <w:sz w:val="18"/>
      <w:szCs w:val="18"/>
    </w:rPr>
  </w:style>
  <w:style w:type="paragraph" w:styleId="845" w:customStyle="1">
    <w:name w:val="页眉1"/>
    <w:basedOn w:val="64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6" w:customStyle="1">
    <w:name w:val="目录 11"/>
    <w:basedOn w:val="640"/>
    <w:next w:val="640"/>
    <w:uiPriority w:val="39"/>
    <w:qFormat/>
  </w:style>
  <w:style w:type="paragraph" w:styleId="847" w:customStyle="1">
    <w:name w:val="正文文本缩进 31"/>
    <w:basedOn w:val="640"/>
    <w:uiPriority w:val="0"/>
    <w:qFormat/>
    <w:pPr>
      <w:ind w:left="645" w:firstLine="645"/>
    </w:pPr>
    <w:rPr>
      <w:rFonts w:ascii="Arial" w:hAnsi="Arial" w:eastAsia="仿宋_GB2312"/>
      <w:color w:val="ffff00"/>
      <w:sz w:val="32"/>
      <w:szCs w:val="32"/>
    </w:rPr>
  </w:style>
  <w:style w:type="paragraph" w:styleId="848" w:customStyle="1">
    <w:name w:val="普通(网站)11"/>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49" w:customStyle="1">
    <w:name w:val="批注主题1"/>
    <w:basedOn w:val="833"/>
    <w:next w:val="833"/>
    <w:link w:val="850"/>
    <w:uiPriority w:val="0"/>
    <w:qFormat/>
    <w:rPr>
      <w:b/>
      <w:bCs/>
    </w:rPr>
  </w:style>
  <w:style w:type="character" w:styleId="850" w:customStyle="1">
    <w:name w:val="批注主题 字符"/>
    <w:link w:val="849"/>
    <w:uiPriority w:val="0"/>
    <w:qFormat/>
    <w:rPr>
      <w:b/>
      <w:bCs/>
      <w:sz w:val="21"/>
    </w:rPr>
  </w:style>
  <w:style w:type="paragraph" w:styleId="851" w:customStyle="1">
    <w:name w:val="正文首行缩进1"/>
    <w:basedOn w:val="835"/>
    <w:link w:val="852"/>
    <w:uiPriority w:val="0"/>
    <w:qFormat/>
    <w:pPr>
      <w:ind w:firstLine="420"/>
      <w:spacing w:after="120"/>
    </w:pPr>
    <w:rPr>
      <w:rFonts w:ascii="Times New Roman" w:eastAsia="宋体"/>
      <w:szCs w:val="24"/>
    </w:rPr>
  </w:style>
  <w:style w:type="character" w:styleId="852" w:customStyle="1">
    <w:name w:val="正文首行缩进 字符"/>
    <w:link w:val="851"/>
    <w:uiPriority w:val="0"/>
    <w:qFormat/>
    <w:rPr>
      <w:sz w:val="24"/>
      <w:szCs w:val="24"/>
    </w:rPr>
  </w:style>
  <w:style w:type="paragraph" w:styleId="853" w:customStyle="1">
    <w:name w:val="正文首行缩进 211"/>
    <w:basedOn w:val="836"/>
    <w:next w:val="847"/>
    <w:uiPriority w:val="0"/>
    <w:qFormat/>
    <w:pPr>
      <w:ind w:left="0" w:firstLine="420"/>
      <w:spacing w:after="0" w:line="360" w:lineRule="auto"/>
    </w:pPr>
    <w:rPr>
      <w:rFonts w:ascii="宋体" w:hAnsi="宋体"/>
      <w:sz w:val="20"/>
      <w:szCs w:val="20"/>
    </w:rPr>
  </w:style>
  <w:style w:type="table" w:styleId="854" w:customStyle="1">
    <w:name w:val="网格型1"/>
    <w:basedOn w:val="831"/>
    <w:uiPriority w:val="39"/>
    <w:qFormat/>
    <w:tblPr/>
  </w:style>
  <w:style w:type="character" w:styleId="855" w:customStyle="1">
    <w:name w:val="要点1"/>
    <w:link w:val="640"/>
    <w:uiPriority w:val="22"/>
    <w:qFormat/>
    <w:rPr>
      <w:b/>
      <w:bCs/>
    </w:rPr>
  </w:style>
  <w:style w:type="character" w:styleId="856" w:customStyle="1">
    <w:name w:val="已访问的超链接1"/>
    <w:link w:val="640"/>
    <w:uiPriority w:val="0"/>
    <w:qFormat/>
    <w:rPr>
      <w:rFonts w:ascii="Times New Roman" w:hAnsi="Times New Roman" w:eastAsia="宋体" w:cs="Times New Roman"/>
      <w:sz w:val="21"/>
      <w:lang w:val="en-US" w:eastAsia="zh-CN" w:bidi="ar-SA"/>
    </w:rPr>
  </w:style>
  <w:style w:type="character" w:styleId="857" w:customStyle="1">
    <w:name w:val="强调1"/>
    <w:link w:val="640"/>
    <w:uiPriority w:val="0"/>
    <w:qFormat/>
    <w:rPr>
      <w:i/>
    </w:rPr>
  </w:style>
  <w:style w:type="character" w:styleId="858" w:customStyle="1">
    <w:name w:val="超链接1"/>
    <w:link w:val="640"/>
    <w:uiPriority w:val="99"/>
    <w:unhideWhenUsed/>
    <w:qFormat/>
    <w:rPr>
      <w:color w:val="0563c1"/>
      <w:u w:val="single"/>
    </w:rPr>
  </w:style>
  <w:style w:type="character" w:styleId="859" w:customStyle="1">
    <w:name w:val="批注引用1"/>
    <w:link w:val="640"/>
    <w:uiPriority w:val="0"/>
    <w:qFormat/>
    <w:rPr>
      <w:sz w:val="21"/>
      <w:szCs w:val="21"/>
    </w:rPr>
  </w:style>
  <w:style w:type="paragraph" w:styleId="860" w:customStyle="1">
    <w:name w:val="普通文字"/>
    <w:basedOn w:val="640"/>
    <w:next w:val="640"/>
    <w:uiPriority w:val="0"/>
    <w:qFormat/>
    <w:rPr>
      <w:rFonts w:ascii="宋体"/>
      <w:sz w:val="24"/>
    </w:rPr>
  </w:style>
  <w:style w:type="paragraph" w:styleId="861" w:customStyle="1">
    <w:name w:val="正文缩进1"/>
    <w:basedOn w:val="640"/>
    <w:uiPriority w:val="0"/>
    <w:qFormat/>
    <w:pPr>
      <w:ind w:firstLine="420"/>
      <w:jc w:val="left"/>
    </w:pPr>
    <w:rPr>
      <w:rFonts w:ascii="宋体" w:hAnsi="Calibri"/>
      <w:sz w:val="24"/>
      <w:szCs w:val="22"/>
    </w:rPr>
  </w:style>
  <w:style w:type="paragraph" w:styleId="862" w:customStyle="1">
    <w:name w:val="索引 11"/>
    <w:basedOn w:val="640"/>
    <w:next w:val="640"/>
    <w:uiPriority w:val="0"/>
    <w:qFormat/>
    <w:pPr>
      <w:spacing w:line="360" w:lineRule="auto"/>
    </w:pPr>
    <w:rPr>
      <w:rFonts w:ascii="仿宋_GB2312" w:eastAsia="仿宋_GB2312"/>
      <w:sz w:val="24"/>
    </w:rPr>
  </w:style>
  <w:style w:type="paragraph" w:styleId="863" w:customStyle="1">
    <w:name w:val="纯文本1"/>
    <w:basedOn w:val="640"/>
    <w:uiPriority w:val="0"/>
    <w:qFormat/>
    <w:rPr>
      <w:rFonts w:ascii="宋体" w:hAnsi="Courier New"/>
      <w:szCs w:val="22"/>
    </w:rPr>
  </w:style>
  <w:style w:type="paragraph" w:styleId="864" w:customStyle="1">
    <w:name w:val="普通(网站)1"/>
    <w:basedOn w:val="640"/>
    <w:uiPriority w:val="99"/>
    <w:qFormat/>
    <w:pPr>
      <w:jc w:val="left"/>
      <w:spacing w:before="100" w:beforeAutospacing="1" w:after="100" w:afterAutospacing="1"/>
    </w:pPr>
    <w:rPr>
      <w:sz w:val="24"/>
    </w:rPr>
  </w:style>
  <w:style w:type="paragraph" w:styleId="865" w:customStyle="1">
    <w:name w:val="正文文本1"/>
    <w:basedOn w:val="640"/>
    <w:next w:val="640"/>
    <w:uiPriority w:val="0"/>
    <w:qFormat/>
    <w:rPr>
      <w:sz w:val="20"/>
    </w:rPr>
  </w:style>
  <w:style w:type="paragraph" w:styleId="866" w:customStyle="1">
    <w:name w:val="正文文本首行缩进"/>
    <w:basedOn w:val="865"/>
    <w:uiPriority w:val="0"/>
    <w:qFormat/>
    <w:pPr>
      <w:ind w:firstLine="420"/>
      <w:spacing w:after="120"/>
      <w:tabs>
        <w:tab w:val="left" w:pos="2020" w:leader="none"/>
        <w:tab w:val="center" w:pos="4535" w:leader="none"/>
      </w:tabs>
    </w:pPr>
    <w:rPr>
      <w:sz w:val="21"/>
    </w:rPr>
  </w:style>
  <w:style w:type="paragraph" w:styleId="867" w:customStyle="1">
    <w:name w:val="纯文本2"/>
    <w:basedOn w:val="640"/>
    <w:uiPriority w:val="0"/>
    <w:qFormat/>
    <w:rPr>
      <w:rFonts w:ascii="宋体" w:hAnsi="Courier New"/>
    </w:rPr>
  </w:style>
  <w:style w:type="paragraph" w:styleId="868" w:customStyle="1">
    <w:name w:val="正文文本 21"/>
    <w:basedOn w:val="640"/>
    <w:uiPriority w:val="0"/>
    <w:qFormat/>
    <w:pPr>
      <w:spacing w:after="120" w:line="480" w:lineRule="auto"/>
    </w:pPr>
    <w:rPr>
      <w:sz w:val="20"/>
    </w:rPr>
  </w:style>
  <w:style w:type="paragraph" w:styleId="869" w:customStyle="1">
    <w:name w:val="页脚1"/>
    <w:basedOn w:val="640"/>
    <w:uiPriority w:val="0"/>
    <w:qFormat/>
    <w:pPr>
      <w:jc w:val="left"/>
      <w:tabs>
        <w:tab w:val="center" w:pos="4153" w:leader="none"/>
        <w:tab w:val="right" w:pos="8306" w:leader="none"/>
      </w:tabs>
    </w:pPr>
    <w:rPr>
      <w:sz w:val="18"/>
    </w:rPr>
  </w:style>
  <w:style w:type="character" w:styleId="870" w:customStyle="1">
    <w:name w:val="custom-tag-placeholder-class"/>
    <w:link w:val="640"/>
    <w:uiPriority w:val="0"/>
    <w:qFormat/>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2" w:customStyle="1">
    <w:name w:val="列出段落1"/>
    <w:basedOn w:val="640"/>
    <w:uiPriority w:val="0"/>
    <w:qFormat/>
    <w:pPr>
      <w:ind w:firstLine="420"/>
    </w:pPr>
    <w:rPr>
      <w:szCs w:val="21"/>
    </w:rPr>
  </w:style>
  <w:style w:type="paragraph" w:styleId="873" w:customStyle="1">
    <w:name w:val="标题 111"/>
    <w:basedOn w:val="640"/>
    <w:next w:val="640"/>
    <w:uiPriority w:val="0"/>
    <w:qFormat/>
    <w:pPr>
      <w:keepLines/>
      <w:keepNext/>
      <w:spacing w:before="340" w:after="330" w:line="578" w:lineRule="auto"/>
      <w:outlineLvl w:val="0"/>
    </w:pPr>
    <w:rPr>
      <w:b/>
      <w:bCs/>
      <w:sz w:val="44"/>
      <w:szCs w:val="44"/>
      <w:lang w:val="en-US" w:eastAsia="en-US"/>
    </w:rPr>
  </w:style>
  <w:style w:type="paragraph" w:styleId="874" w:customStyle="1">
    <w:name w:val="普通(网站)2"/>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75" w:customStyle="1">
    <w:name w:val="普通正文"/>
    <w:basedOn w:val="640"/>
    <w:uiPriority w:val="0"/>
    <w:qFormat/>
    <w:pPr>
      <w:ind w:firstLine="480"/>
      <w:jc w:val="left"/>
      <w:spacing w:before="120" w:after="120" w:line="360" w:lineRule="auto"/>
    </w:pPr>
    <w:rPr>
      <w:rFonts w:ascii="Arial" w:hAnsi="Arial"/>
      <w:sz w:val="24"/>
      <w:szCs w:val="24"/>
    </w:rPr>
  </w:style>
  <w:style w:type="paragraph" w:styleId="876" w:customStyle="1">
    <w:name w:val="正文首行缩进11"/>
    <w:basedOn w:val="865"/>
    <w:uiPriority w:val="0"/>
    <w:qFormat/>
    <w:pPr>
      <w:ind w:firstLine="200"/>
      <w:spacing w:line="360" w:lineRule="auto"/>
    </w:pPr>
    <w:rPr>
      <w:rFonts w:ascii="仿宋_GB2312" w:hAnsi="Times New Roman" w:eastAsia="仿宋_GB2312"/>
      <w:sz w:val="30"/>
      <w:szCs w:val="30"/>
    </w:rPr>
  </w:style>
  <w:style w:type="character" w:styleId="877" w:customStyle="1">
    <w:name w:val="font51"/>
    <w:basedOn w:val="650"/>
    <w:uiPriority w:val="0"/>
    <w:qFormat/>
    <w:rPr>
      <w:rFonts w:hint="eastAsia" w:ascii="宋体" w:hAnsi="宋体" w:eastAsia="宋体" w:cs="宋体"/>
      <w:color w:val="000000"/>
      <w:sz w:val="21"/>
      <w:szCs w:val="21"/>
      <w:u w:val="none"/>
    </w:rPr>
  </w:style>
  <w:style w:type="character" w:styleId="878" w:customStyle="1">
    <w:name w:val="font41"/>
    <w:basedOn w:val="650"/>
    <w:uiPriority w:val="0"/>
    <w:qFormat/>
    <w:rPr>
      <w:rFonts w:hint="eastAsia" w:ascii="宋体" w:hAnsi="宋体" w:eastAsia="宋体" w:cs="宋体"/>
      <w:color w:val="000000"/>
      <w:sz w:val="22"/>
      <w:szCs w:val="22"/>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21</cp:revision>
  <dcterms:created xsi:type="dcterms:W3CDTF">2023-12-07T03:32:00Z</dcterms:created>
  <dcterms:modified xsi:type="dcterms:W3CDTF">2026-07-22T05:09:32Z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AB9882981B8F4A9F93CD8C18360387AE_13</vt:lpwstr>
  </property>
  <property fmtid="{D5CDD505-2E9C-101B-9397-08002B2CF9AE}" pid="4" name="KSOTemplateDocerSaveRecord">
    <vt:lpwstr>eyJoZGlkIjoiYzA5YWY4M2MwNGRhODk4ZjM0ZWM5YjZlMDk5M2I4YjQiLCJ1c2VySWQiOiIxNjU1OTQ5OTg4In0=</vt:lpwstr>
  </property>
</Properties>
</file>